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06D24">
      <w:pPr>
        <w:pStyle w:val="11"/>
        <w:numPr>
          <w:ilvl w:val="0"/>
          <w:numId w:val="1"/>
        </w:numPr>
        <w:spacing w:before="240" w:after="240"/>
        <w:ind w:firstLineChars="0"/>
        <w:rPr>
          <w:rFonts w:hint="eastAsia" w:asciiTheme="majorEastAsia" w:hAnsiTheme="majorEastAsia" w:eastAsiaTheme="majorEastAsia"/>
          <w:b/>
          <w:sz w:val="32"/>
          <w:szCs w:val="32"/>
        </w:rPr>
      </w:pPr>
      <w:r>
        <w:rPr>
          <w:rFonts w:hint="eastAsia" w:asciiTheme="majorEastAsia" w:hAnsiTheme="majorEastAsia" w:eastAsiaTheme="majorEastAsia"/>
          <w:b/>
          <w:sz w:val="32"/>
          <w:szCs w:val="32"/>
          <w:lang w:val="en-US" w:eastAsia="zh-CN"/>
        </w:rPr>
        <w:t>全自动化学发光免疫仪</w:t>
      </w:r>
    </w:p>
    <w:p w14:paraId="19BD1647">
      <w:pPr>
        <w:tabs>
          <w:tab w:val="left" w:pos="1980"/>
        </w:tabs>
        <w:spacing w:line="360" w:lineRule="auto"/>
        <w:ind w:firstLine="241" w:firstLineChars="100"/>
        <w:rPr>
          <w:rFonts w:hint="eastAsia" w:asciiTheme="minorEastAsia" w:hAnsiTheme="minorEastAsia"/>
          <w:b/>
          <w:bCs w:val="0"/>
          <w:sz w:val="24"/>
          <w:szCs w:val="24"/>
          <w:lang w:val="en-US" w:eastAsia="zh-CN"/>
        </w:rPr>
      </w:pPr>
      <w:r>
        <w:rPr>
          <w:rFonts w:hint="eastAsia" w:asciiTheme="minorEastAsia" w:hAnsiTheme="minorEastAsia"/>
          <w:b/>
          <w:bCs w:val="0"/>
          <w:sz w:val="24"/>
          <w:szCs w:val="24"/>
          <w:lang w:val="en-US" w:eastAsia="zh-CN"/>
        </w:rPr>
        <w:t>（一）技术需求</w:t>
      </w:r>
    </w:p>
    <w:tbl>
      <w:tblPr>
        <w:tblStyle w:val="6"/>
        <w:tblW w:w="9069" w:type="dxa"/>
        <w:jc w:val="center"/>
        <w:tblLayout w:type="fixed"/>
        <w:tblCellMar>
          <w:top w:w="0" w:type="dxa"/>
          <w:left w:w="108" w:type="dxa"/>
          <w:bottom w:w="0" w:type="dxa"/>
          <w:right w:w="108" w:type="dxa"/>
        </w:tblCellMar>
      </w:tblPr>
      <w:tblGrid>
        <w:gridCol w:w="1110"/>
        <w:gridCol w:w="7959"/>
      </w:tblGrid>
      <w:tr w14:paraId="2D74025C">
        <w:tblPrEx>
          <w:tblCellMar>
            <w:top w:w="0" w:type="dxa"/>
            <w:left w:w="108" w:type="dxa"/>
            <w:bottom w:w="0" w:type="dxa"/>
            <w:right w:w="108" w:type="dxa"/>
          </w:tblCellMar>
        </w:tblPrEx>
        <w:trPr>
          <w:trHeight w:val="50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14:paraId="2290C9D9">
            <w:pPr>
              <w:tabs>
                <w:tab w:val="left" w:pos="3834"/>
              </w:tabs>
              <w:ind w:right="-74"/>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序号</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26D2DA4C">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z w:val="24"/>
                <w:szCs w:val="24"/>
                <w:lang w:val="en-US" w:eastAsia="zh-CN"/>
              </w:rPr>
              <w:t>设备技术</w:t>
            </w:r>
            <w:r>
              <w:rPr>
                <w:rFonts w:hint="eastAsia" w:asciiTheme="minorEastAsia" w:hAnsiTheme="minorEastAsia" w:eastAsiaTheme="minorEastAsia" w:cstheme="minorEastAsia"/>
                <w:b/>
                <w:bCs/>
                <w:sz w:val="24"/>
                <w:szCs w:val="24"/>
              </w:rPr>
              <w:t>参数</w:t>
            </w:r>
          </w:p>
        </w:tc>
      </w:tr>
      <w:tr w14:paraId="6FD35775">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0501203B">
            <w:pPr>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1</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5A749AAB">
            <w:p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最大测试速度＞2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0T/H。</w:t>
            </w:r>
          </w:p>
        </w:tc>
      </w:tr>
      <w:tr w14:paraId="2E6E3DFC">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21430E57">
            <w:pPr>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2</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607689B4">
            <w:p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试剂位≥25</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个，</w:t>
            </w:r>
            <w:r>
              <w:rPr>
                <w:rFonts w:hint="eastAsia" w:asciiTheme="minorEastAsia" w:hAnsiTheme="minorEastAsia" w:eastAsiaTheme="minorEastAsia" w:cstheme="minorEastAsia"/>
                <w:sz w:val="24"/>
                <w:szCs w:val="24"/>
              </w:rPr>
              <w:t>试剂盘温度2～8℃，24小时制冷。</w:t>
            </w:r>
          </w:p>
        </w:tc>
      </w:tr>
      <w:tr w14:paraId="0C9B9D8D">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462BD556">
            <w:pPr>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1978DA8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占地面积</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1平米。</w:t>
            </w:r>
          </w:p>
        </w:tc>
      </w:tr>
      <w:tr w14:paraId="6A41783F">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2452E62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6153974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进样方式：随时连续进样，支持自动重测和自动稀释</w:t>
            </w:r>
          </w:p>
        </w:tc>
      </w:tr>
      <w:tr w14:paraId="70C25A53">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5490A020">
            <w:pPr>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5</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5DF111C5">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样本容量：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70个样本，具有独立急诊通道，支持急诊优先</w:t>
            </w:r>
          </w:p>
        </w:tc>
      </w:tr>
      <w:tr w14:paraId="14C7B2C5">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14:paraId="0EEFB2A9">
            <w:pPr>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6</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21DE69E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样本针/试剂针：钢针加样，具备液面检测、堵针检测、空吸检测、随量跟踪、立体防撞、气泡检测等功能</w:t>
            </w:r>
          </w:p>
        </w:tc>
      </w:tr>
      <w:tr w14:paraId="691F140E">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14:paraId="4BCE2EFD">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14:paraId="4E4D8D2D">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zh-CN"/>
              </w:rPr>
              <w:t>样本针采用钢针加样，样本针携带污染率&lt;0.1PPM</w:t>
            </w:r>
          </w:p>
        </w:tc>
      </w:tr>
      <w:tr w14:paraId="339DEFE6">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14:paraId="1E77F37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2021BF9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反应杯：一次性反应杯，可加载≥</w:t>
            </w:r>
            <w:r>
              <w:rPr>
                <w:rFonts w:hint="eastAsia" w:asciiTheme="minorEastAsia" w:hAnsiTheme="minorEastAsia" w:eastAsiaTheme="minorEastAsia" w:cstheme="minorEastAsia"/>
                <w:sz w:val="24"/>
                <w:szCs w:val="24"/>
              </w:rPr>
              <w:t>1200</w:t>
            </w:r>
            <w:r>
              <w:rPr>
                <w:rFonts w:hint="eastAsia" w:asciiTheme="minorEastAsia" w:hAnsiTheme="minorEastAsia" w:eastAsiaTheme="minorEastAsia" w:cstheme="minorEastAsia"/>
                <w:sz w:val="24"/>
                <w:szCs w:val="24"/>
                <w:lang w:val="zh-CN"/>
              </w:rPr>
              <w:t>个，</w:t>
            </w:r>
            <w:r>
              <w:rPr>
                <w:rFonts w:hint="eastAsia" w:asciiTheme="minorEastAsia" w:hAnsiTheme="minorEastAsia" w:eastAsiaTheme="minorEastAsia" w:cstheme="minorEastAsia"/>
                <w:sz w:val="24"/>
                <w:szCs w:val="24"/>
              </w:rPr>
              <w:t xml:space="preserve">随时添加，防静电设计 </w:t>
            </w:r>
          </w:p>
        </w:tc>
      </w:tr>
      <w:tr w14:paraId="6593EB8D">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21E82F6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69DE9DB0">
            <w:p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混匀方式：非接触式偏心涡旋混匀</w:t>
            </w:r>
          </w:p>
        </w:tc>
      </w:tr>
      <w:tr w14:paraId="51CBA430">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445E5A3B">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5AA03A7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生物预防风险设置，可进行反应后物质固体和液体分离技术</w:t>
            </w:r>
          </w:p>
        </w:tc>
      </w:tr>
      <w:tr w14:paraId="4077252F">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4C07C0F4">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2BAB96DF">
            <w:p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磁分离机构布局：单独磁分离盘，</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zh-CN"/>
              </w:rPr>
              <w:t>重磁分离清洗，底物注入</w:t>
            </w:r>
          </w:p>
        </w:tc>
      </w:tr>
      <w:tr w14:paraId="5043BCE7">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74ADDD0A">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000D3DC0">
            <w:p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校准方式：配套校准品校正</w:t>
            </w:r>
          </w:p>
        </w:tc>
      </w:tr>
      <w:tr w14:paraId="29B6E11C">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615377B5">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44313096">
            <w:p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溯源性：符合国际量值溯源体系要求</w:t>
            </w:r>
          </w:p>
        </w:tc>
      </w:tr>
      <w:tr w14:paraId="18E8FECD">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1657C57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499B9DA7">
            <w:p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甲功试剂项目说明书中明确写入成人及妊娠期甲状腺参考范围</w:t>
            </w:r>
          </w:p>
        </w:tc>
      </w:tr>
      <w:tr w14:paraId="70552A17">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14:paraId="2EAC1D21">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tcPr>
          <w:p w14:paraId="16846AF8">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highlight w:val="white"/>
                <w:lang w:val="en-US" w:eastAsia="zh-CN"/>
              </w:rPr>
              <w:t>可</w:t>
            </w:r>
            <w:r>
              <w:rPr>
                <w:rFonts w:hint="eastAsia" w:asciiTheme="minorEastAsia" w:hAnsiTheme="minorEastAsia" w:eastAsiaTheme="minorEastAsia" w:cstheme="minorEastAsia"/>
                <w:sz w:val="24"/>
                <w:szCs w:val="24"/>
                <w:highlight w:val="white"/>
                <w:lang w:val="zh-CN"/>
              </w:rPr>
              <w:t>检测项目：具有甲状腺、性腺激素、肿瘤标志物、降钙素原、骨代谢等检测</w:t>
            </w:r>
            <w:r>
              <w:rPr>
                <w:rFonts w:hint="eastAsia" w:asciiTheme="minorEastAsia" w:hAnsiTheme="minorEastAsia" w:cstheme="minorEastAsia"/>
                <w:sz w:val="24"/>
                <w:szCs w:val="24"/>
                <w:highlight w:val="white"/>
                <w:lang w:val="en-US" w:eastAsia="zh-CN"/>
              </w:rPr>
              <w:t>项目及配套试剂</w:t>
            </w:r>
          </w:p>
        </w:tc>
      </w:tr>
      <w:tr w14:paraId="674055C8">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14:paraId="55A46712">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14:paraId="15C55C43">
            <w:pPr>
              <w:spacing w:line="360" w:lineRule="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sz w:val="24"/>
                <w:szCs w:val="24"/>
                <w:lang w:val="zh-CN"/>
              </w:rPr>
              <w:t>TSH满足功能灵敏度≤0.02μIU/mL,</w:t>
            </w:r>
          </w:p>
        </w:tc>
      </w:tr>
      <w:tr w14:paraId="6AB6FA1B">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14:paraId="3067BCFE">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14:paraId="595470B1">
            <w:pPr>
              <w:spacing w:line="360" w:lineRule="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sz w:val="24"/>
                <w:szCs w:val="24"/>
                <w:lang w:val="zh-CN"/>
              </w:rPr>
              <w:t>校准质控要求</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zh-CN"/>
              </w:rPr>
              <w:t>采用原厂质控品和校准品，校准品和质控品单独注册。</w:t>
            </w:r>
          </w:p>
        </w:tc>
      </w:tr>
      <w:tr w14:paraId="08C7EBB8">
        <w:tblPrEx>
          <w:tblCellMar>
            <w:top w:w="0" w:type="dxa"/>
            <w:left w:w="108" w:type="dxa"/>
            <w:bottom w:w="0" w:type="dxa"/>
            <w:right w:w="108" w:type="dxa"/>
          </w:tblCellMar>
        </w:tblPrEx>
        <w:trPr>
          <w:trHeight w:val="1" w:hRule="atLeast"/>
          <w:jc w:val="center"/>
        </w:trPr>
        <w:tc>
          <w:tcPr>
            <w:tcW w:w="111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14:paraId="1EE20C65">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9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14:paraId="1994AB8E">
            <w:pPr>
              <w:spacing w:line="360" w:lineRule="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sz w:val="24"/>
                <w:szCs w:val="24"/>
                <w:lang w:val="en-US" w:eastAsia="zh-CN"/>
              </w:rPr>
              <w:t>样本类型：血清、血浆、尿液</w:t>
            </w:r>
          </w:p>
        </w:tc>
      </w:tr>
    </w:tbl>
    <w:p w14:paraId="6B66B8F9">
      <w:pPr>
        <w:tabs>
          <w:tab w:val="left" w:pos="1980"/>
        </w:tabs>
        <w:spacing w:line="360" w:lineRule="auto"/>
        <w:ind w:firstLine="241" w:firstLineChars="100"/>
        <w:rPr>
          <w:rFonts w:hint="eastAsia" w:asciiTheme="minorEastAsia" w:hAnsiTheme="minorEastAsia"/>
          <w:b/>
          <w:bCs w:val="0"/>
          <w:sz w:val="24"/>
          <w:szCs w:val="24"/>
          <w:lang w:val="en-US" w:eastAsia="zh-CN"/>
        </w:rPr>
      </w:pPr>
      <w:r>
        <w:rPr>
          <w:rFonts w:hint="eastAsia" w:asciiTheme="minorEastAsia" w:hAnsiTheme="minorEastAsia"/>
          <w:b/>
          <w:bCs w:val="0"/>
          <w:sz w:val="24"/>
          <w:szCs w:val="24"/>
          <w:lang w:val="en-US" w:eastAsia="zh-CN"/>
        </w:rPr>
        <w:t>（二）售后服务要求</w:t>
      </w:r>
    </w:p>
    <w:p w14:paraId="4CFC4558">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1、保修期≥3年，以采购人认可的验收合格时间为入保时间。</w:t>
      </w:r>
    </w:p>
    <w:p w14:paraId="33C7AD27">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1.1 提供维修、保养、更换零配件的服务。</w:t>
      </w:r>
    </w:p>
    <w:p w14:paraId="6753CC25">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1.2 保修期内维修服务所涉及的人工费、交通差旅费、上门费及备件费，均由厂家承担。</w:t>
      </w:r>
    </w:p>
    <w:p w14:paraId="3D4C79AD">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1.3保证提供的零配件为原厂认证、测试合格、全新零配件，且与设备整机匹配。</w:t>
      </w:r>
    </w:p>
    <w:p w14:paraId="24FE6B7E">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1.4出保后无上门费、收取人工费、差旅费，更换的零配件的费用。</w:t>
      </w:r>
    </w:p>
    <w:p w14:paraId="3CF9496A">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1.5采购人享受终身免费应用软件、操作系统及数据库完善和稳定性升级服务含新增功能升级（同代软件），版本跨代升级只收取升级费。</w:t>
      </w:r>
    </w:p>
    <w:p w14:paraId="44C92154">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2、维修及响应时间要求。</w:t>
      </w:r>
    </w:p>
    <w:p w14:paraId="7AA3E5EA">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2.1提供7*24小时专线电话客户服务。专人接听，并配有经验丰富工程师提供指导服务。</w:t>
      </w:r>
    </w:p>
    <w:p w14:paraId="0E81A64D">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2.2提供2小时可以取得联络的资深售后工程师电话，一旦遇到紧急情况可以保证迅速响应，48小时间内到场勘察、检测、解决问题。</w:t>
      </w:r>
    </w:p>
    <w:p w14:paraId="3B7BB25C">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2.3在有特殊任务的情况下，保证售后工程师到场，在检查过程中待命，随时响应处理临时出现的关于设备的问题。</w:t>
      </w:r>
    </w:p>
    <w:p w14:paraId="14353A83">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2.4保证全年开机率≥95％（按365天计算），未达到的天数，不顺延保修期时间。</w:t>
      </w:r>
    </w:p>
    <w:p w14:paraId="20BA2491">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3、保养及巡检服务。</w:t>
      </w:r>
    </w:p>
    <w:p w14:paraId="6FA37640">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3.1提供不少于4次/年的定期巡检服务，询问了解设备运行状况，对核心易损部件进行常规备件准备和检查，以保证有突发情况下的及时应对。</w:t>
      </w:r>
    </w:p>
    <w:p w14:paraId="65F0BC0F">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3.2提供不少于4次/年的定期维护保养服务。</w:t>
      </w:r>
    </w:p>
    <w:p w14:paraId="00F41151">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3.3提供不少于1次/年的定期质量控制服务。</w:t>
      </w:r>
    </w:p>
    <w:p w14:paraId="51C628E7">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4、保修期内应由产品制造商负责产品所有保修和维修服务；也可不完全由制造商提供，而由供应商提供部分或全部保修和维修服务，但供应商或产品制造商应提供相应的售后服务承诺函。</w:t>
      </w:r>
    </w:p>
    <w:p w14:paraId="7E161BD9">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5、供应商可增加整机质量保证期（保修期）。</w:t>
      </w:r>
    </w:p>
    <w:p w14:paraId="41CA1B88">
      <w:pPr>
        <w:tabs>
          <w:tab w:val="left" w:pos="1980"/>
        </w:tabs>
        <w:spacing w:line="360" w:lineRule="auto"/>
        <w:ind w:firstLine="241" w:firstLineChars="100"/>
        <w:rPr>
          <w:rFonts w:hint="eastAsia" w:asciiTheme="minorEastAsia" w:hAnsiTheme="minorEastAsia"/>
          <w:b/>
          <w:bCs w:val="0"/>
          <w:sz w:val="24"/>
          <w:szCs w:val="24"/>
          <w:lang w:val="en-US" w:eastAsia="zh-CN"/>
        </w:rPr>
      </w:pPr>
      <w:bookmarkStart w:id="0" w:name="_GoBack"/>
      <w:bookmarkEnd w:id="0"/>
      <w:r>
        <w:rPr>
          <w:rFonts w:hint="eastAsia" w:asciiTheme="minorEastAsia" w:hAnsiTheme="minorEastAsia"/>
          <w:b/>
          <w:bCs w:val="0"/>
          <w:sz w:val="24"/>
          <w:szCs w:val="24"/>
          <w:lang w:val="en-US" w:eastAsia="zh-CN"/>
        </w:rPr>
        <w:t>（三）安装培训要求</w:t>
      </w:r>
    </w:p>
    <w:p w14:paraId="5E452490">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1、设备运抵现场后，根据采购人要求，委派工程技术人员抵达现场进行安装调试。</w:t>
      </w:r>
    </w:p>
    <w:p w14:paraId="5747CCF7">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2、安装调试合格后，双方对设备进行性能考核，通过考核且达到采购人要求，方可签署验收合格文件。</w:t>
      </w:r>
    </w:p>
    <w:p w14:paraId="033151F1">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3、设备投入使用前，厂家需负责对医院人员进行正规的设备操作使用培训至医院人员可正确进行设备操作。培训时间：根据医院需求上门培训，直到医院人员完全了解使用设备。</w:t>
      </w:r>
    </w:p>
    <w:p w14:paraId="482E7B75">
      <w:pPr>
        <w:tabs>
          <w:tab w:val="left" w:pos="1980"/>
        </w:tabs>
        <w:spacing w:line="360" w:lineRule="auto"/>
        <w:ind w:firstLine="240" w:firstLineChars="1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4、设备使用期间提供免费且不限次培训服务，对采购人的工程师、技师进行不定期的技术培训，提供但不限于机器维护、软件维护、常见故障判断、常见故障处理、常规非定期保障等技术培训。在项目实施中，对医院人员进行各种设备的安装、使用、参数设置的现场培训。根据实际情况，将定期举行技术讲座，邀请用户方技术人员参加。定期或者不定期的给医院人员派发相关产品的技术资料，以提高医院技术人员的设备维护水平和系统管理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B0A85"/>
    <w:multiLevelType w:val="multilevel"/>
    <w:tmpl w:val="5A1B0A85"/>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jMTI4N2UwOGJiNjM0OWFjZDNkNTJjYTJjNjE0M2MifQ=="/>
  </w:docVars>
  <w:rsids>
    <w:rsidRoot w:val="00657284"/>
    <w:rsid w:val="00001F08"/>
    <w:rsid w:val="00002CDA"/>
    <w:rsid w:val="00030380"/>
    <w:rsid w:val="000652C6"/>
    <w:rsid w:val="000A4AAD"/>
    <w:rsid w:val="000E48C6"/>
    <w:rsid w:val="000E5293"/>
    <w:rsid w:val="000F461E"/>
    <w:rsid w:val="0010686F"/>
    <w:rsid w:val="00123FF6"/>
    <w:rsid w:val="00145DFD"/>
    <w:rsid w:val="001536AC"/>
    <w:rsid w:val="001608C8"/>
    <w:rsid w:val="0016116A"/>
    <w:rsid w:val="0018299C"/>
    <w:rsid w:val="001A2E5F"/>
    <w:rsid w:val="001B3D2E"/>
    <w:rsid w:val="001E1D06"/>
    <w:rsid w:val="001F3069"/>
    <w:rsid w:val="00200331"/>
    <w:rsid w:val="00202A54"/>
    <w:rsid w:val="00244751"/>
    <w:rsid w:val="00310022"/>
    <w:rsid w:val="003178E5"/>
    <w:rsid w:val="0034391D"/>
    <w:rsid w:val="003525D3"/>
    <w:rsid w:val="00356DE9"/>
    <w:rsid w:val="003A6CD4"/>
    <w:rsid w:val="003C102F"/>
    <w:rsid w:val="0040739D"/>
    <w:rsid w:val="0043342F"/>
    <w:rsid w:val="00444053"/>
    <w:rsid w:val="00453BC3"/>
    <w:rsid w:val="00455B6E"/>
    <w:rsid w:val="00473D6F"/>
    <w:rsid w:val="0047766A"/>
    <w:rsid w:val="00494BC2"/>
    <w:rsid w:val="004B433B"/>
    <w:rsid w:val="004C215A"/>
    <w:rsid w:val="004D140A"/>
    <w:rsid w:val="004F38E9"/>
    <w:rsid w:val="0051050A"/>
    <w:rsid w:val="0051223A"/>
    <w:rsid w:val="005155D8"/>
    <w:rsid w:val="005614D8"/>
    <w:rsid w:val="00572E7A"/>
    <w:rsid w:val="00573589"/>
    <w:rsid w:val="005B50FC"/>
    <w:rsid w:val="005E74F8"/>
    <w:rsid w:val="006026A7"/>
    <w:rsid w:val="00652C54"/>
    <w:rsid w:val="00652DB8"/>
    <w:rsid w:val="00657181"/>
    <w:rsid w:val="00657284"/>
    <w:rsid w:val="00686F69"/>
    <w:rsid w:val="006E20E9"/>
    <w:rsid w:val="00705DF6"/>
    <w:rsid w:val="0072138F"/>
    <w:rsid w:val="007514ED"/>
    <w:rsid w:val="00790985"/>
    <w:rsid w:val="00791607"/>
    <w:rsid w:val="007E4D47"/>
    <w:rsid w:val="007F60F0"/>
    <w:rsid w:val="00847410"/>
    <w:rsid w:val="0085007C"/>
    <w:rsid w:val="0086681C"/>
    <w:rsid w:val="00874542"/>
    <w:rsid w:val="00886D21"/>
    <w:rsid w:val="008A107D"/>
    <w:rsid w:val="008A7556"/>
    <w:rsid w:val="008D29F3"/>
    <w:rsid w:val="00906182"/>
    <w:rsid w:val="009243B9"/>
    <w:rsid w:val="009279E6"/>
    <w:rsid w:val="00931B58"/>
    <w:rsid w:val="00931D0B"/>
    <w:rsid w:val="00943FBF"/>
    <w:rsid w:val="00955117"/>
    <w:rsid w:val="00981CE5"/>
    <w:rsid w:val="009D73A1"/>
    <w:rsid w:val="00A03323"/>
    <w:rsid w:val="00A633BC"/>
    <w:rsid w:val="00A65FC4"/>
    <w:rsid w:val="00A9220D"/>
    <w:rsid w:val="00B04103"/>
    <w:rsid w:val="00B648D0"/>
    <w:rsid w:val="00BA4FE2"/>
    <w:rsid w:val="00BC56CC"/>
    <w:rsid w:val="00BE644F"/>
    <w:rsid w:val="00BE74B4"/>
    <w:rsid w:val="00BF10EC"/>
    <w:rsid w:val="00BF6434"/>
    <w:rsid w:val="00C72187"/>
    <w:rsid w:val="00CD5DCE"/>
    <w:rsid w:val="00CE0664"/>
    <w:rsid w:val="00CF245B"/>
    <w:rsid w:val="00D0596D"/>
    <w:rsid w:val="00D162C2"/>
    <w:rsid w:val="00D225DC"/>
    <w:rsid w:val="00D622BA"/>
    <w:rsid w:val="00D64872"/>
    <w:rsid w:val="00D74A91"/>
    <w:rsid w:val="00DC2AED"/>
    <w:rsid w:val="00DC5C70"/>
    <w:rsid w:val="00E1159C"/>
    <w:rsid w:val="00E115D9"/>
    <w:rsid w:val="00E1417D"/>
    <w:rsid w:val="00E41CC4"/>
    <w:rsid w:val="00E65DE6"/>
    <w:rsid w:val="00E728EF"/>
    <w:rsid w:val="00EA2CB0"/>
    <w:rsid w:val="00EA7819"/>
    <w:rsid w:val="00F03FA9"/>
    <w:rsid w:val="00F06903"/>
    <w:rsid w:val="00F07B28"/>
    <w:rsid w:val="00F33811"/>
    <w:rsid w:val="00F61A99"/>
    <w:rsid w:val="00F80C8A"/>
    <w:rsid w:val="00FC3894"/>
    <w:rsid w:val="06B2215E"/>
    <w:rsid w:val="0B7A58E3"/>
    <w:rsid w:val="0C4F4880"/>
    <w:rsid w:val="0CC27221"/>
    <w:rsid w:val="1881278D"/>
    <w:rsid w:val="195652ED"/>
    <w:rsid w:val="1A044015"/>
    <w:rsid w:val="1C625A69"/>
    <w:rsid w:val="229A29B5"/>
    <w:rsid w:val="241906CD"/>
    <w:rsid w:val="251C3A23"/>
    <w:rsid w:val="2B01680D"/>
    <w:rsid w:val="2BBB4F35"/>
    <w:rsid w:val="32A17EA8"/>
    <w:rsid w:val="4096124B"/>
    <w:rsid w:val="41DF57F0"/>
    <w:rsid w:val="47C929F0"/>
    <w:rsid w:val="4A6C6EE9"/>
    <w:rsid w:val="4B1D129C"/>
    <w:rsid w:val="53B10062"/>
    <w:rsid w:val="54CC5154"/>
    <w:rsid w:val="5A896F5F"/>
    <w:rsid w:val="5D6B258C"/>
    <w:rsid w:val="661A1B85"/>
    <w:rsid w:val="727328AB"/>
    <w:rsid w:val="7AF765DE"/>
    <w:rsid w:val="7D9F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Calibri" w:hAnsi="Calibri" w:eastAsia="宋体" w:cs="Times New Roman"/>
      <w:sz w:val="24"/>
      <w:szCs w:val="24"/>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列出段落1"/>
    <w:basedOn w:val="1"/>
    <w:unhideWhenUsed/>
    <w:qFormat/>
    <w:uiPriority w:val="99"/>
    <w:pPr>
      <w:ind w:firstLine="420" w:firstLineChars="200"/>
    </w:pPr>
    <w:rPr>
      <w:rFonts w:ascii="Times New Roman" w:hAnsi="Times New Roman" w:eastAsia="宋体" w:cs="Times New Roman"/>
      <w:szCs w:val="24"/>
    </w:rPr>
  </w:style>
  <w:style w:type="character" w:customStyle="1" w:styleId="13">
    <w:name w:val="NormalCharacter"/>
    <w:qFormat/>
    <w:uiPriority w:val="0"/>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5">
    <w:name w:val="批注框文本 Char"/>
    <w:basedOn w:val="8"/>
    <w:link w:val="2"/>
    <w:semiHidden/>
    <w:qFormat/>
    <w:uiPriority w:val="99"/>
    <w:rPr>
      <w:sz w:val="18"/>
      <w:szCs w:val="18"/>
    </w:rPr>
  </w:style>
  <w:style w:type="paragraph" w:customStyle="1" w:styleId="16">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7">
    <w:name w:val="font3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2626</Words>
  <Characters>2789</Characters>
  <Lines>20</Lines>
  <Paragraphs>5</Paragraphs>
  <TotalTime>1</TotalTime>
  <ScaleCrop>false</ScaleCrop>
  <LinksUpToDate>false</LinksUpToDate>
  <CharactersWithSpaces>2804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2025-02-21T01:19:00Z</dcterms:created>
  <dc:creator>wzgyk</dc:creator>
  <cp:lastModifiedBy>001</cp:lastModifiedBy>
  <cp:lastPrinted>2025-02-21T01:31:00Z</cp:lastPrinted>
  <dcterms:modified xsi:type="dcterms:W3CDTF">2026-01-22T06:44:21Z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C25AAA6A51054E298CB789170A66B3B9</vt:lpwstr>
  </property>
  <property fmtid="{D5CDD505-2E9C-101B-9397-08002B2CF9AE}" pid="4" name="KSOTemplateDocerSaveRecord">
    <vt:lpwstr>eyJoZGlkIjoiYzgxM2JkMjhlMjZiMzUyMDRlYjQzZDg0MjBkY2JmNjMiLCJ1c2VySWQiOiI0MzQ2OTYxNjUifQ==</vt:lpwstr>
  </property>
</Properties>
</file>