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4B7D6A">
      <w:pPr>
        <w:numPr>
          <w:ilvl w:val="0"/>
          <w:numId w:val="1"/>
        </w:numPr>
        <w:spacing w:before="56" w:line="175" w:lineRule="auto"/>
        <w:ind w:left="19"/>
        <w:rPr>
          <w:rFonts w:hint="eastAsia" w:ascii="宋体" w:hAnsi="宋体" w:eastAsia="宋体" w:cs="宋体"/>
          <w:b/>
          <w:bCs/>
          <w:spacing w:val="-1"/>
          <w:sz w:val="36"/>
          <w:szCs w:val="36"/>
          <w:lang w:val="en-US" w:eastAsia="zh-CN"/>
        </w:rPr>
      </w:pPr>
      <w:bookmarkStart w:id="0" w:name="_GoBack"/>
      <w:r>
        <w:rPr>
          <w:rFonts w:hint="eastAsia" w:ascii="宋体" w:hAnsi="宋体" w:eastAsia="宋体" w:cs="宋体"/>
          <w:b/>
          <w:bCs/>
          <w:spacing w:val="-1"/>
          <w:sz w:val="36"/>
          <w:szCs w:val="36"/>
          <w:lang w:val="en-US" w:eastAsia="zh-CN"/>
        </w:rPr>
        <w:t>便携式干式生化免疫分析仪</w:t>
      </w:r>
    </w:p>
    <w:bookmarkEnd w:id="0"/>
    <w:p w14:paraId="75BE5B50">
      <w:pPr>
        <w:tabs>
          <w:tab w:val="left" w:pos="1980"/>
        </w:tabs>
        <w:spacing w:line="360" w:lineRule="auto"/>
        <w:ind w:firstLine="241" w:firstLineChars="100"/>
        <w:rPr>
          <w:rFonts w:hint="default" w:eastAsia="宋体" w:asciiTheme="minorEastAsia" w:hAnsiTheme="minorEastAsia"/>
          <w:b/>
          <w:bCs w:val="0"/>
          <w:sz w:val="24"/>
          <w:szCs w:val="24"/>
          <w:lang w:val="en-US" w:eastAsia="zh-CN"/>
        </w:rPr>
      </w:pPr>
      <w:r>
        <w:rPr>
          <w:rFonts w:hint="eastAsia" w:eastAsia="宋体" w:asciiTheme="minorEastAsia" w:hAnsiTheme="minorEastAsia"/>
          <w:b/>
          <w:bCs w:val="0"/>
          <w:sz w:val="24"/>
          <w:szCs w:val="24"/>
          <w:lang w:val="en-US" w:eastAsia="zh-CN"/>
        </w:rPr>
        <w:t>（一）技术需求</w:t>
      </w:r>
    </w:p>
    <w:tbl>
      <w:tblPr>
        <w:tblStyle w:val="23"/>
        <w:tblW w:w="536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9"/>
        <w:gridCol w:w="1852"/>
        <w:gridCol w:w="6475"/>
      </w:tblGrid>
      <w:tr w14:paraId="339E1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A58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9CD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检测原理</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498F9256">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干式荧光免疫法，基于竞争法免疫学原理</w:t>
            </w:r>
          </w:p>
        </w:tc>
      </w:tr>
      <w:tr w14:paraId="3A39C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40C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66A6CBF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检测项目</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18D98895">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微量白蛋白/肌酐检测（ACR）</w:t>
            </w:r>
          </w:p>
        </w:tc>
      </w:tr>
      <w:tr w14:paraId="71881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AA2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58E32D0B">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检测样本</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2643D97D">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尿液</w:t>
            </w:r>
          </w:p>
        </w:tc>
      </w:tr>
      <w:tr w14:paraId="7B8CC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F849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6F3E6D1A">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样本要求</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3A463A41">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若样本在2小时内不能完成测试，可放置于2-8℃保存3天</w:t>
            </w:r>
          </w:p>
        </w:tc>
      </w:tr>
      <w:tr w14:paraId="0B700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20C8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4677D4A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样本量</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71094910">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60uL</w:t>
            </w:r>
          </w:p>
        </w:tc>
      </w:tr>
      <w:tr w14:paraId="5FDC7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BC65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26D5FA95">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测试时间</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56223245">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10分钟</w:t>
            </w:r>
          </w:p>
        </w:tc>
      </w:tr>
      <w:tr w14:paraId="030409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9CB7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16C85B92">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精密度</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70FB1B34">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批内精密度： CV≤15%；批间精密度： CV≤15%</w:t>
            </w:r>
          </w:p>
        </w:tc>
      </w:tr>
      <w:tr w14:paraId="21CBC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DF0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10A6360F">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空白检出限</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03A473EB">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微量白蛋白不大于1.5mg/L；肌酐不大于0.8mmol/L</w:t>
            </w:r>
          </w:p>
        </w:tc>
      </w:tr>
      <w:tr w14:paraId="1E00D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6237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6401810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检出限</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443EF995">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微量白蛋白不高于3mg/L；肌酐不高于1.2mmol/L</w:t>
            </w:r>
          </w:p>
        </w:tc>
      </w:tr>
      <w:tr w14:paraId="6F165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C017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5AB8F46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准确度</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623714BA">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测试蛋白质含量 RS2 国家标准品（重组人血白蛋白）和肌酐标准物质，测量结果的相对偏差应不超过±15%</w:t>
            </w:r>
          </w:p>
        </w:tc>
      </w:tr>
      <w:tr w14:paraId="7362B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921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036B5E21">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线性</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1D71CBE1">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微量白蛋白在5-300mg/L范围内，线性相关系数r≥0.990；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肌酐在1.5-35.3mmol/L范围内，线性相关系数r≥0.990。</w:t>
            </w:r>
          </w:p>
        </w:tc>
      </w:tr>
      <w:tr w14:paraId="19FD1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22E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296F0750">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反应环境</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5957E938">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温度：15℃~ 30℃</w:t>
            </w:r>
          </w:p>
        </w:tc>
      </w:tr>
      <w:tr w14:paraId="7B234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ECB6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7A84C9D6">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产品效期</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5116D6F8">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≥18个月</w:t>
            </w:r>
          </w:p>
        </w:tc>
      </w:tr>
      <w:tr w14:paraId="5A61E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AB0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top"/>
          </w:tcPr>
          <w:p w14:paraId="5580C107">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储存运输环境</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top"/>
          </w:tcPr>
          <w:p w14:paraId="0C58CDF9">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温度：2~30℃；</w:t>
            </w:r>
          </w:p>
        </w:tc>
      </w:tr>
      <w:tr w14:paraId="15857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DAB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B186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激发光源</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DE51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LED/ 半导体激光管</w:t>
            </w:r>
          </w:p>
        </w:tc>
      </w:tr>
      <w:tr w14:paraId="04E30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E0EF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0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878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数据接口</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56E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Type-C 接口/ 蓝牙 /4G 传输</w:t>
            </w:r>
          </w:p>
        </w:tc>
      </w:tr>
      <w:tr w14:paraId="3A00F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C9DA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01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5166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线性</w:t>
            </w: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8B3A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荧光检测模式相对偏倚不超过±5%</w:t>
            </w:r>
          </w:p>
        </w:tc>
      </w:tr>
      <w:tr w14:paraId="54B0F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5AC00">
            <w:pPr>
              <w:jc w:val="center"/>
              <w:rPr>
                <w:rFonts w:hint="eastAsia" w:ascii="宋体" w:hAnsi="宋体" w:eastAsia="宋体" w:cs="宋体"/>
                <w:i w:val="0"/>
                <w:iCs w:val="0"/>
                <w:color w:val="000000"/>
                <w:sz w:val="24"/>
                <w:szCs w:val="24"/>
                <w:u w:val="none"/>
              </w:rPr>
            </w:pPr>
          </w:p>
        </w:tc>
        <w:tc>
          <w:tcPr>
            <w:tcW w:w="101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F275B">
            <w:pPr>
              <w:jc w:val="center"/>
              <w:rPr>
                <w:rFonts w:hint="eastAsia" w:ascii="宋体" w:hAnsi="宋体" w:eastAsia="宋体" w:cs="宋体"/>
                <w:i w:val="0"/>
                <w:iCs w:val="0"/>
                <w:color w:val="000000"/>
                <w:sz w:val="24"/>
                <w:szCs w:val="24"/>
                <w:u w:val="none"/>
              </w:rPr>
            </w:pPr>
          </w:p>
        </w:tc>
        <w:tc>
          <w:tcPr>
            <w:tcW w:w="3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C31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反射式检测分析模式相对极差(R)应≤ 5%</w:t>
            </w:r>
          </w:p>
        </w:tc>
      </w:tr>
    </w:tbl>
    <w:p w14:paraId="6B66B8F9">
      <w:pPr>
        <w:tabs>
          <w:tab w:val="left" w:pos="1980"/>
        </w:tabs>
        <w:spacing w:line="360" w:lineRule="auto"/>
        <w:ind w:firstLine="241" w:firstLineChars="100"/>
        <w:rPr>
          <w:rFonts w:hint="eastAsia" w:asciiTheme="minorEastAsia" w:hAnsiTheme="minorEastAsia"/>
          <w:b/>
          <w:bCs w:val="0"/>
          <w:sz w:val="24"/>
          <w:szCs w:val="24"/>
          <w:lang w:val="en-US" w:eastAsia="zh-CN"/>
        </w:rPr>
      </w:pPr>
      <w:r>
        <w:rPr>
          <w:rFonts w:hint="eastAsia" w:asciiTheme="minorEastAsia" w:hAnsiTheme="minorEastAsia"/>
          <w:b/>
          <w:bCs w:val="0"/>
          <w:sz w:val="24"/>
          <w:szCs w:val="24"/>
          <w:lang w:val="en-US" w:eastAsia="zh-CN"/>
        </w:rPr>
        <w:t>（二）售后服务要求</w:t>
      </w:r>
    </w:p>
    <w:p w14:paraId="4CFC4558">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1、保修期≥3年，以采购人认可的验收合格时间为入保时间。</w:t>
      </w:r>
    </w:p>
    <w:p w14:paraId="33C7AD27">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1.1 提供维修、保养、更换零配件的服务。</w:t>
      </w:r>
    </w:p>
    <w:p w14:paraId="6753CC25">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1.2 保修期内维修服务所涉及的人工费、交通差旅费、上门费及备件费，均由厂家承担。</w:t>
      </w:r>
    </w:p>
    <w:p w14:paraId="3D4C79AD">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1.3保证提供的零配件为原厂认证、测试合格、全新零配件，且与设备整机匹配。</w:t>
      </w:r>
    </w:p>
    <w:p w14:paraId="24FE6B7E">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1.4出保后无上门费、收取人工费、差旅费，更换的零配件的费用。</w:t>
      </w:r>
    </w:p>
    <w:p w14:paraId="3CF9496A">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1.5采购人享受终身免费应用软件、操作系统及数据库完善和稳定性升级服务含新增功能升级（同代软件），版本跨代升级只收取升级费。</w:t>
      </w:r>
    </w:p>
    <w:p w14:paraId="44C92154">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2、维修及响应时间要求。</w:t>
      </w:r>
    </w:p>
    <w:p w14:paraId="7AA3E5EA">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2.1提供7*24小时专线电话客户服务。专人接听，并配有经验丰富工程师提供指导服务。</w:t>
      </w:r>
    </w:p>
    <w:p w14:paraId="0E81A64D">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2.2提供2小时可以取得联络的资深售后工程师电话，一旦遇到紧急情况可以保证迅速响应，48小时间内到场勘察、检测、解决问题。</w:t>
      </w:r>
    </w:p>
    <w:p w14:paraId="3B7BB25C">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2.3在有特殊任务的情况下，保证售后工程师到场，在检查过程中待命，随时响应处理临时出现的关于设备的问题。</w:t>
      </w:r>
    </w:p>
    <w:p w14:paraId="14353A83">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2.4保证全年开机率≥95％（按365天计算），未达到的天数，不顺延保修期时间。</w:t>
      </w:r>
    </w:p>
    <w:p w14:paraId="20BA2491">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3、保养及巡检服务。</w:t>
      </w:r>
    </w:p>
    <w:p w14:paraId="6FA37640">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3.1提供不少于4次/年的定期巡检服务，询问了解设备运行状况，对核心易损部件进行常规备件准备和检查，以保证有突发情况下的及时应对。</w:t>
      </w:r>
    </w:p>
    <w:p w14:paraId="65F0BC0F">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3.2提供不少于4次/年的定期维护保养服务。</w:t>
      </w:r>
    </w:p>
    <w:p w14:paraId="00F41151">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3.3提供不少于1次/年的定期质量控制服务。</w:t>
      </w:r>
    </w:p>
    <w:p w14:paraId="51C628E7">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4、保修期内应由产品制造商负责产品所有保修和维修服务；也可不完全由制造商提供，而由供应商提供部分或全部保修和维修服务，但供应商或产品制造商应提供相应的售后服务承诺函。</w:t>
      </w:r>
    </w:p>
    <w:p w14:paraId="7E161BD9">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5、供应商可增加整机质量保证期（保修期）。</w:t>
      </w:r>
    </w:p>
    <w:p w14:paraId="41CA1B88">
      <w:pPr>
        <w:tabs>
          <w:tab w:val="left" w:pos="1980"/>
        </w:tabs>
        <w:spacing w:line="360" w:lineRule="auto"/>
        <w:ind w:firstLine="241" w:firstLineChars="100"/>
        <w:rPr>
          <w:rFonts w:hint="eastAsia" w:asciiTheme="minorEastAsia" w:hAnsiTheme="minorEastAsia"/>
          <w:b/>
          <w:bCs w:val="0"/>
          <w:sz w:val="24"/>
          <w:szCs w:val="24"/>
          <w:lang w:val="en-US" w:eastAsia="zh-CN"/>
        </w:rPr>
      </w:pPr>
      <w:r>
        <w:rPr>
          <w:rFonts w:hint="eastAsia" w:asciiTheme="minorEastAsia" w:hAnsiTheme="minorEastAsia"/>
          <w:b/>
          <w:bCs w:val="0"/>
          <w:sz w:val="24"/>
          <w:szCs w:val="24"/>
          <w:lang w:val="en-US" w:eastAsia="zh-CN"/>
        </w:rPr>
        <w:t>（三）安装培训要求</w:t>
      </w:r>
    </w:p>
    <w:p w14:paraId="5E452490">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1、设备运抵现场后，根据采购人要求，委派工程技术人员抵达现场进行安装调试。</w:t>
      </w:r>
    </w:p>
    <w:p w14:paraId="5747CCF7">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2、安装调试合格后，双方对设备进行性能考核，通过考核且达到采购人要求，方可签署验收合格文件。</w:t>
      </w:r>
    </w:p>
    <w:p w14:paraId="033151F1">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3、设备投入使用前，厂家需负责对医院人员进行正规的设备操作使用培训至医院人员可正确进行设备操作。培训时间：根据医院需求上门培训，直到医院人员完全了解使用设备。</w:t>
      </w:r>
    </w:p>
    <w:p w14:paraId="482E7B75">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4、设备使用期间提供免费且不限次培训服务，对采购人的工程师、技师进行不定期的技术培训，提供但不限于机器维护、软件维护、常见故障判断、常见故障处理、常规非定期保障等技术培训。在项目实施中，对医院人员进行各种设备的安装、使用、参数设置的现场培训。根据实际情况，将定期举行技术讲座，邀请用户方技术人员参加。定期或者不定期的给医院人员派发相关产品的技术资料，以提高医院技术人员的设备维护水平和系统管理能力。</w:t>
      </w:r>
    </w:p>
    <w:p w14:paraId="19A82946">
      <w:pPr>
        <w:numPr>
          <w:ilvl w:val="0"/>
          <w:numId w:val="0"/>
        </w:numPr>
        <w:spacing w:before="56" w:line="175" w:lineRule="auto"/>
        <w:rPr>
          <w:rFonts w:hint="eastAsia" w:ascii="PingFang SC" w:hAnsi="PingFang SC" w:eastAsia="PingFang SC" w:cs="PingFang SC"/>
          <w:spacing w:val="-1"/>
          <w:sz w:val="21"/>
          <w:szCs w:val="21"/>
        </w:rPr>
      </w:pPr>
    </w:p>
    <w:p w14:paraId="296BCBEB">
      <w:pPr>
        <w:numPr>
          <w:ilvl w:val="0"/>
          <w:numId w:val="0"/>
        </w:numPr>
        <w:spacing w:before="56" w:line="175" w:lineRule="auto"/>
        <w:rPr>
          <w:rFonts w:hint="eastAsia" w:ascii="PingFang SC" w:hAnsi="PingFang SC" w:eastAsia="PingFang SC" w:cs="PingFang SC"/>
          <w:spacing w:val="-1"/>
          <w:sz w:val="21"/>
          <w:szCs w:val="21"/>
        </w:rPr>
      </w:pPr>
    </w:p>
    <w:p w14:paraId="30A5A993">
      <w:pPr>
        <w:numPr>
          <w:ilvl w:val="0"/>
          <w:numId w:val="1"/>
        </w:numPr>
        <w:spacing w:before="56" w:line="175" w:lineRule="auto"/>
        <w:ind w:left="19"/>
        <w:rPr>
          <w:rFonts w:hint="eastAsia" w:ascii="宋体" w:hAnsi="宋体" w:eastAsia="宋体" w:cs="宋体"/>
          <w:b/>
          <w:bCs/>
          <w:spacing w:val="-1"/>
          <w:sz w:val="36"/>
          <w:szCs w:val="36"/>
        </w:rPr>
      </w:pPr>
      <w:r>
        <w:rPr>
          <w:rFonts w:hint="eastAsia" w:ascii="宋体" w:hAnsi="宋体" w:eastAsia="宋体" w:cs="宋体"/>
          <w:b/>
          <w:bCs/>
          <w:spacing w:val="-1"/>
          <w:sz w:val="36"/>
          <w:szCs w:val="36"/>
          <w:lang w:val="en-US" w:eastAsia="zh-CN"/>
        </w:rPr>
        <w:t>快速</w:t>
      </w:r>
      <w:r>
        <w:rPr>
          <w:rFonts w:hint="eastAsia" w:ascii="宋体" w:hAnsi="宋体" w:eastAsia="宋体" w:cs="宋体"/>
          <w:b/>
          <w:bCs/>
          <w:spacing w:val="-1"/>
          <w:sz w:val="36"/>
          <w:szCs w:val="36"/>
        </w:rPr>
        <w:t>糖化血红蛋白检测仪技术参数表</w:t>
      </w:r>
    </w:p>
    <w:p w14:paraId="70BE4BC7">
      <w:pPr>
        <w:tabs>
          <w:tab w:val="left" w:pos="1980"/>
        </w:tabs>
        <w:spacing w:line="360" w:lineRule="auto"/>
        <w:ind w:firstLine="241" w:firstLineChars="100"/>
        <w:rPr>
          <w:rFonts w:hint="default" w:eastAsia="宋体" w:asciiTheme="minorEastAsia" w:hAnsiTheme="minorEastAsia"/>
          <w:b/>
          <w:bCs w:val="0"/>
          <w:sz w:val="24"/>
          <w:szCs w:val="24"/>
          <w:lang w:val="en-US" w:eastAsia="zh-CN"/>
        </w:rPr>
      </w:pPr>
      <w:r>
        <w:rPr>
          <w:rFonts w:hint="eastAsia" w:eastAsia="宋体" w:asciiTheme="minorEastAsia" w:hAnsiTheme="minorEastAsia"/>
          <w:b/>
          <w:bCs w:val="0"/>
          <w:sz w:val="24"/>
          <w:szCs w:val="24"/>
          <w:lang w:val="en-US" w:eastAsia="zh-CN"/>
        </w:rPr>
        <w:t>（一）技术需求</w:t>
      </w:r>
    </w:p>
    <w:tbl>
      <w:tblPr>
        <w:tblStyle w:val="2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226"/>
        <w:gridCol w:w="6604"/>
      </w:tblGrid>
      <w:tr w14:paraId="4AF9E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74E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FEA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性 能</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top"/>
          </w:tcPr>
          <w:p w14:paraId="553787EC">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技术指标</w:t>
            </w:r>
          </w:p>
        </w:tc>
      </w:tr>
      <w:tr w14:paraId="0813E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30E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324C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测定项目</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9B003">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糖化血红蛋白（HbA1c）</w:t>
            </w:r>
          </w:p>
        </w:tc>
      </w:tr>
      <w:tr w14:paraId="05D0B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66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63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测量范围</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55DE5">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r>
              <w:rPr>
                <w:rStyle w:val="70"/>
                <w:rFonts w:hint="eastAsia" w:ascii="宋体" w:hAnsi="宋体" w:eastAsia="宋体" w:cs="宋体"/>
                <w:sz w:val="24"/>
                <w:szCs w:val="24"/>
                <w:lang w:val="en-US" w:eastAsia="zh-CN" w:bidi="ar"/>
              </w:rPr>
              <w:t>～</w:t>
            </w:r>
            <w:r>
              <w:rPr>
                <w:rStyle w:val="71"/>
                <w:rFonts w:hint="eastAsia" w:ascii="宋体" w:hAnsi="宋体" w:eastAsia="宋体" w:cs="宋体"/>
                <w:sz w:val="24"/>
                <w:szCs w:val="24"/>
                <w:lang w:val="en-US" w:eastAsia="zh-CN" w:bidi="ar"/>
              </w:rPr>
              <w:t>14.0%</w:t>
            </w:r>
          </w:p>
        </w:tc>
      </w:tr>
      <w:tr w14:paraId="5B74A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0BAE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905B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检测原理</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A35B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硼酸亲和层析/色谱法</w:t>
            </w:r>
          </w:p>
        </w:tc>
      </w:tr>
      <w:tr w14:paraId="71998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12A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F11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样本要求</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7A950">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指尖末梢血或静脉血（EDTA抗凝）</w:t>
            </w:r>
          </w:p>
        </w:tc>
      </w:tr>
      <w:tr w14:paraId="30E55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484A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0CF0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样本量</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AB3ED">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无需定量（约3</w:t>
            </w:r>
            <w:r>
              <w:rPr>
                <w:rStyle w:val="72"/>
                <w:rFonts w:hint="eastAsia" w:ascii="宋体" w:hAnsi="宋体" w:eastAsia="宋体" w:cs="宋体"/>
                <w:sz w:val="24"/>
                <w:szCs w:val="24"/>
                <w:lang w:val="en-US" w:eastAsia="zh-CN" w:bidi="ar"/>
              </w:rPr>
              <w:t>μL</w:t>
            </w:r>
            <w:r>
              <w:rPr>
                <w:rStyle w:val="71"/>
                <w:rFonts w:hint="eastAsia" w:ascii="宋体" w:hAnsi="宋体" w:eastAsia="宋体" w:cs="宋体"/>
                <w:sz w:val="24"/>
                <w:szCs w:val="24"/>
                <w:lang w:val="en-US" w:eastAsia="zh-CN" w:bidi="ar"/>
              </w:rPr>
              <w:t>）</w:t>
            </w:r>
          </w:p>
        </w:tc>
      </w:tr>
      <w:tr w14:paraId="3F9AA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9C3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16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检测时间</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7081F">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单通道≤5分钟，四通道同时测量2±0.5分钟/通道；一次可以检测≥4个标本；</w:t>
            </w:r>
          </w:p>
        </w:tc>
      </w:tr>
      <w:tr w14:paraId="018359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9F4A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EC4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操作系统</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E31B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触摸屏操作，中文提示；</w:t>
            </w:r>
          </w:p>
        </w:tc>
      </w:tr>
      <w:tr w14:paraId="1DED0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759D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2BF1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报告单位</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1D44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可预先设定显示单位：NGSP单位%NGSP；IFCC单位mmol/mol</w:t>
            </w:r>
          </w:p>
        </w:tc>
      </w:tr>
      <w:tr w14:paraId="5FA04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4B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CF52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语音提示</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BCC9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具备全程语音提示操作功能，音量可调节</w:t>
            </w:r>
          </w:p>
        </w:tc>
      </w:tr>
      <w:tr w14:paraId="594FF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FBCD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A830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打印功能</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F47D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测试完成自动打印结果</w:t>
            </w:r>
          </w:p>
        </w:tc>
      </w:tr>
      <w:tr w14:paraId="5BE82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CE46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5BBA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数据存储</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91EB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≥1000组检测数据</w:t>
            </w:r>
          </w:p>
        </w:tc>
      </w:tr>
      <w:tr w14:paraId="5D420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C9B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2F15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数据端口</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BCD0C">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包括但不限于USB口、RJ45有线网络接口、RS 232-C串口等</w:t>
            </w:r>
          </w:p>
        </w:tc>
      </w:tr>
      <w:tr w14:paraId="582C8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957D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9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无线通信</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5CCDB">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包括但不限于WIFI,GPRS等</w:t>
            </w:r>
          </w:p>
        </w:tc>
      </w:tr>
      <w:tr w14:paraId="2D875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E62C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D2E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温度校正</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D1CF3">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利用温度传感器自动校正</w:t>
            </w:r>
          </w:p>
        </w:tc>
      </w:tr>
      <w:tr w14:paraId="3FA2A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148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9EED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工作环境</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8577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温度：10</w:t>
            </w:r>
            <w:r>
              <w:rPr>
                <w:rStyle w:val="70"/>
                <w:rFonts w:hint="eastAsia" w:ascii="宋体" w:hAnsi="宋体" w:eastAsia="宋体" w:cs="宋体"/>
                <w:sz w:val="24"/>
                <w:szCs w:val="24"/>
                <w:lang w:val="en-US" w:eastAsia="zh-CN" w:bidi="ar"/>
              </w:rPr>
              <w:t>～</w:t>
            </w:r>
            <w:r>
              <w:rPr>
                <w:rStyle w:val="71"/>
                <w:rFonts w:hint="eastAsia" w:ascii="宋体" w:hAnsi="宋体" w:eastAsia="宋体" w:cs="宋体"/>
                <w:sz w:val="24"/>
                <w:szCs w:val="24"/>
                <w:lang w:val="en-US" w:eastAsia="zh-CN" w:bidi="ar"/>
              </w:rPr>
              <w:t>40℃，湿度：30%</w:t>
            </w:r>
            <w:r>
              <w:rPr>
                <w:rStyle w:val="70"/>
                <w:rFonts w:hint="eastAsia" w:ascii="宋体" w:hAnsi="宋体" w:eastAsia="宋体" w:cs="宋体"/>
                <w:sz w:val="24"/>
                <w:szCs w:val="24"/>
                <w:lang w:val="en-US" w:eastAsia="zh-CN" w:bidi="ar"/>
              </w:rPr>
              <w:t>～</w:t>
            </w:r>
            <w:r>
              <w:rPr>
                <w:rStyle w:val="71"/>
                <w:rFonts w:hint="eastAsia" w:ascii="宋体" w:hAnsi="宋体" w:eastAsia="宋体" w:cs="宋体"/>
                <w:sz w:val="24"/>
                <w:szCs w:val="24"/>
                <w:lang w:val="en-US" w:eastAsia="zh-CN" w:bidi="ar"/>
              </w:rPr>
              <w:t>75%</w:t>
            </w:r>
          </w:p>
        </w:tc>
      </w:tr>
      <w:tr w14:paraId="51744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C420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7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D049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储存环境</w:t>
            </w:r>
          </w:p>
        </w:tc>
        <w:tc>
          <w:tcPr>
            <w:tcW w:w="3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88BC2">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温度：-20</w:t>
            </w:r>
            <w:r>
              <w:rPr>
                <w:rStyle w:val="70"/>
                <w:rFonts w:hint="eastAsia" w:ascii="宋体" w:hAnsi="宋体" w:eastAsia="宋体" w:cs="宋体"/>
                <w:sz w:val="24"/>
                <w:szCs w:val="24"/>
                <w:lang w:val="en-US" w:eastAsia="zh-CN" w:bidi="ar"/>
              </w:rPr>
              <w:t>～</w:t>
            </w:r>
            <w:r>
              <w:rPr>
                <w:rStyle w:val="71"/>
                <w:rFonts w:hint="eastAsia" w:ascii="宋体" w:hAnsi="宋体" w:eastAsia="宋体" w:cs="宋体"/>
                <w:sz w:val="24"/>
                <w:szCs w:val="24"/>
                <w:lang w:val="en-US" w:eastAsia="zh-CN" w:bidi="ar"/>
              </w:rPr>
              <w:t>55℃，湿度：＜80%</w:t>
            </w:r>
          </w:p>
        </w:tc>
      </w:tr>
    </w:tbl>
    <w:p w14:paraId="00F6BBDE"/>
    <w:p w14:paraId="5AB74686">
      <w:pPr>
        <w:tabs>
          <w:tab w:val="left" w:pos="1980"/>
        </w:tabs>
        <w:spacing w:line="360" w:lineRule="auto"/>
        <w:ind w:firstLine="241" w:firstLineChars="100"/>
        <w:rPr>
          <w:rFonts w:hint="eastAsia" w:asciiTheme="minorEastAsia" w:hAnsiTheme="minorEastAsia"/>
          <w:b/>
          <w:bCs w:val="0"/>
          <w:sz w:val="24"/>
          <w:szCs w:val="24"/>
          <w:lang w:val="en-US" w:eastAsia="zh-CN"/>
        </w:rPr>
      </w:pPr>
      <w:r>
        <w:rPr>
          <w:rFonts w:hint="eastAsia" w:asciiTheme="minorEastAsia" w:hAnsiTheme="minorEastAsia"/>
          <w:b/>
          <w:bCs w:val="0"/>
          <w:sz w:val="24"/>
          <w:szCs w:val="24"/>
          <w:lang w:val="en-US" w:eastAsia="zh-CN"/>
        </w:rPr>
        <w:t>（二）售后服务要求</w:t>
      </w:r>
    </w:p>
    <w:p w14:paraId="03AB4B07">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1、保修期≥3年，以采购人认可的验收合格时间为入保时间。</w:t>
      </w:r>
    </w:p>
    <w:p w14:paraId="7914CF7C">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1.1 提供维修、保养、更换零配件的服务。</w:t>
      </w:r>
    </w:p>
    <w:p w14:paraId="6D28426A">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1.2 保修期内维修服务所涉及的人工费、交通差旅费、上门费及备件费，均由厂家承担。</w:t>
      </w:r>
    </w:p>
    <w:p w14:paraId="4A139B0B">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1.3保证提供的零配件为原厂认证、测试合格、全新零配件，且与设备整机匹配。</w:t>
      </w:r>
    </w:p>
    <w:p w14:paraId="752DC168">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1.4出保后无上门费、收取人工费、差旅费，更换的零配件的费用。</w:t>
      </w:r>
    </w:p>
    <w:p w14:paraId="1C87C8DC">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1.5采购人享受终身免费应用软件、操作系统及数据库完善和稳定性升级服务含新增功能升级（同代软件），版本跨代升级只收取升级费。</w:t>
      </w:r>
    </w:p>
    <w:p w14:paraId="1FAA80EE">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2、维修及响应时间要求。</w:t>
      </w:r>
    </w:p>
    <w:p w14:paraId="5583A56A">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2.1提供7*24小时专线电话客户服务。专人接听，并配有经验丰富工程师提供指导服务。</w:t>
      </w:r>
    </w:p>
    <w:p w14:paraId="452F45FF">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2.2提供2小时可以取得联络的资深售后工程师电话，一旦遇到紧急情况可以保证迅速响应，48小时间内到场勘察、检测、解决问题。</w:t>
      </w:r>
    </w:p>
    <w:p w14:paraId="213BB963">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2.3在有特殊任务的情况下，保证售后工程师到场，在检查过程中待命，随时响应处理临时出现的关于设备的问题。</w:t>
      </w:r>
    </w:p>
    <w:p w14:paraId="5132DC07">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2.4保证全年开机率≥95％（按365天计算），未达到的天数，不顺延保修期时间。</w:t>
      </w:r>
    </w:p>
    <w:p w14:paraId="514B57A5">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3、保养及巡检服务。</w:t>
      </w:r>
    </w:p>
    <w:p w14:paraId="667D55DB">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3.1提供不少于4次/年的定期巡检服务，询问了解设备运行状况，对核心易损部件进行常规备件准备和检查，以保证有突发情况下的及时应对。</w:t>
      </w:r>
    </w:p>
    <w:p w14:paraId="651EC8BB">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3.2提供不少于4次/年的定期维护保养服务。</w:t>
      </w:r>
    </w:p>
    <w:p w14:paraId="5AE5E1D4">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3.3提供不少于1次/年的定期质量控制服务。</w:t>
      </w:r>
    </w:p>
    <w:p w14:paraId="1C4D7BBF">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4、保修期内应由产品制造商负责产品所有保修和维修服务；也可不完全由制造商提供，而由供应商提供部分或全部保修和维修服务，但供应商或产品制造商应提供相应的售后服务承诺函。</w:t>
      </w:r>
    </w:p>
    <w:p w14:paraId="6B753C59">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5、供应商可增加整机质量保证期（保修期）。</w:t>
      </w:r>
    </w:p>
    <w:p w14:paraId="14786A80">
      <w:pPr>
        <w:tabs>
          <w:tab w:val="left" w:pos="1980"/>
        </w:tabs>
        <w:spacing w:line="360" w:lineRule="auto"/>
        <w:ind w:firstLine="241" w:firstLineChars="100"/>
        <w:rPr>
          <w:rFonts w:hint="eastAsia" w:asciiTheme="minorEastAsia" w:hAnsiTheme="minorEastAsia"/>
          <w:b/>
          <w:bCs w:val="0"/>
          <w:sz w:val="24"/>
          <w:szCs w:val="24"/>
          <w:lang w:val="en-US" w:eastAsia="zh-CN"/>
        </w:rPr>
      </w:pPr>
      <w:r>
        <w:rPr>
          <w:rFonts w:hint="eastAsia" w:asciiTheme="minorEastAsia" w:hAnsiTheme="minorEastAsia"/>
          <w:b/>
          <w:bCs w:val="0"/>
          <w:sz w:val="24"/>
          <w:szCs w:val="24"/>
          <w:lang w:val="en-US" w:eastAsia="zh-CN"/>
        </w:rPr>
        <w:t>（三）安装培训要求</w:t>
      </w:r>
    </w:p>
    <w:p w14:paraId="2C9A43B6">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1、设备运抵现场后，根据采购人要求，委派工程技术人员抵达现场进行安装调试。</w:t>
      </w:r>
    </w:p>
    <w:p w14:paraId="21E67532">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2、安装调试合格后，双方对设备进行性能考核，通过考核且达到采购人要求，方可签署验收合格文件。</w:t>
      </w:r>
    </w:p>
    <w:p w14:paraId="2C2127FB">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3、设备投入使用前，厂家需负责对医院人员进行正规的设备操作使用培训至医院人员可正确进行设备操作。培训时间：根据医院需求上门培训，直到医院人员完全了解使用设备。</w:t>
      </w:r>
    </w:p>
    <w:p w14:paraId="28C70D41">
      <w:pPr>
        <w:tabs>
          <w:tab w:val="left" w:pos="1980"/>
        </w:tabs>
        <w:spacing w:line="360" w:lineRule="auto"/>
        <w:ind w:firstLine="240" w:firstLineChars="100"/>
        <w:rPr>
          <w:rFonts w:hint="eastAsia" w:asciiTheme="minorEastAsia" w:hAnsiTheme="minorEastAsia"/>
          <w:bCs/>
          <w:sz w:val="24"/>
          <w:szCs w:val="24"/>
          <w:lang w:val="en-US" w:eastAsia="zh-CN"/>
        </w:rPr>
      </w:pPr>
      <w:r>
        <w:rPr>
          <w:rFonts w:hint="eastAsia" w:asciiTheme="minorEastAsia" w:hAnsiTheme="minorEastAsia"/>
          <w:bCs/>
          <w:sz w:val="24"/>
          <w:szCs w:val="24"/>
          <w:lang w:val="en-US" w:eastAsia="zh-CN"/>
        </w:rPr>
        <w:t>4、设备使用期间提供免费且不限次培训服务，对采购人的工程师、技师进行不定期的技术培训，提供但不限于机器维护、软件维护、常见故障判断、常见故障处理、常规非定期保障等技术培训。在项目实施中，对医院人员进行各种设备的安装、使用、参数设置的现场培训。根据实际情况，将定期举行技术讲座，邀请用户方技术人员参加。定期或者不定期的给医院人员派发相关产品的技术资料，以提高医院技术人员的设备维护水平和系统管理能力。</w:t>
      </w:r>
    </w:p>
    <w:p w14:paraId="3549F7EA"/>
    <w:p w14:paraId="5A03B0E9"/>
    <w:p w14:paraId="50BB4A03"/>
    <w:p w14:paraId="53291DDC"/>
    <w:p w14:paraId="443863B3"/>
    <w:p w14:paraId="23273F2D"/>
    <w:p w14:paraId="6924A0CF"/>
    <w:p w14:paraId="1A5306A6"/>
    <w:p w14:paraId="45BD0B00"/>
    <w:p w14:paraId="0A1E3AAC"/>
    <w:p w14:paraId="14C08326"/>
    <w:p w14:paraId="337694A1"/>
    <w:p w14:paraId="59F01E65"/>
    <w:p w14:paraId="461DA095"/>
    <w:p w14:paraId="42E72FB6"/>
    <w:p w14:paraId="5E13F832"/>
    <w:p w14:paraId="0E613A2E"/>
    <w:sectPr>
      <w:footerReference r:id="rId3" w:type="default"/>
      <w:type w:val="continuous"/>
      <w:pgSz w:w="11907" w:h="16840"/>
      <w:pgMar w:top="1440" w:right="1797" w:bottom="1440" w:left="1797" w:header="720" w:footer="720" w:gutter="0"/>
      <w:cols w:space="720" w:num="1"/>
      <w:docGrid w:type="lines"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IKUOD B+ Arial,">
    <w:altName w:val="宋体"/>
    <w:panose1 w:val="00000000000000000000"/>
    <w:charset w:val="86"/>
    <w:family w:val="swiss"/>
    <w:pitch w:val="default"/>
    <w:sig w:usb0="00000000" w:usb1="00000000" w:usb2="00000010" w:usb3="00000000" w:csb0="00040000" w:csb1="00000000"/>
  </w:font>
  <w:font w:name="GJWWN A+ Arial">
    <w:altName w:val="宋体"/>
    <w:panose1 w:val="00000000000000000000"/>
    <w:charset w:val="86"/>
    <w:family w:val="swiss"/>
    <w:pitch w:val="default"/>
    <w:sig w:usb0="00000000" w:usb1="00000000" w:usb2="00000010" w:usb3="00000000" w:csb0="00040000" w:csb1="00000000"/>
  </w:font>
  <w:font w:name="PingFang SC">
    <w:altName w:val="宋体"/>
    <w:panose1 w:val="020B0400000000000000"/>
    <w:charset w:val="86"/>
    <w:family w:val="auto"/>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6383E">
    <w:pPr>
      <w:pStyle w:val="13"/>
      <w:ind w:right="360"/>
      <w:jc w:val="cen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EBB6A4"/>
    <w:multiLevelType w:val="singleLevel"/>
    <w:tmpl w:val="89EBB6A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4F3E"/>
    <w:rsid w:val="00003644"/>
    <w:rsid w:val="00011008"/>
    <w:rsid w:val="000153CD"/>
    <w:rsid w:val="0002605D"/>
    <w:rsid w:val="000341B2"/>
    <w:rsid w:val="0003451D"/>
    <w:rsid w:val="00036480"/>
    <w:rsid w:val="00046983"/>
    <w:rsid w:val="000523A2"/>
    <w:rsid w:val="00056C35"/>
    <w:rsid w:val="000570A9"/>
    <w:rsid w:val="000601C6"/>
    <w:rsid w:val="0006211F"/>
    <w:rsid w:val="00062A51"/>
    <w:rsid w:val="000636DF"/>
    <w:rsid w:val="000646AA"/>
    <w:rsid w:val="000651F1"/>
    <w:rsid w:val="00070654"/>
    <w:rsid w:val="00071136"/>
    <w:rsid w:val="0007171B"/>
    <w:rsid w:val="00075D0B"/>
    <w:rsid w:val="000779AF"/>
    <w:rsid w:val="00081B5F"/>
    <w:rsid w:val="00083988"/>
    <w:rsid w:val="00090117"/>
    <w:rsid w:val="00096B76"/>
    <w:rsid w:val="000A1045"/>
    <w:rsid w:val="000A4D67"/>
    <w:rsid w:val="000B0C0C"/>
    <w:rsid w:val="000B2CFD"/>
    <w:rsid w:val="000B603D"/>
    <w:rsid w:val="000B7D26"/>
    <w:rsid w:val="000C2293"/>
    <w:rsid w:val="000C4600"/>
    <w:rsid w:val="000D0622"/>
    <w:rsid w:val="000E11CC"/>
    <w:rsid w:val="000E50BA"/>
    <w:rsid w:val="000E649B"/>
    <w:rsid w:val="000E68E9"/>
    <w:rsid w:val="000F0B72"/>
    <w:rsid w:val="000F26EE"/>
    <w:rsid w:val="000F404F"/>
    <w:rsid w:val="000F743F"/>
    <w:rsid w:val="00100B00"/>
    <w:rsid w:val="001021CE"/>
    <w:rsid w:val="00122640"/>
    <w:rsid w:val="001232EA"/>
    <w:rsid w:val="001245F6"/>
    <w:rsid w:val="00125727"/>
    <w:rsid w:val="001269F0"/>
    <w:rsid w:val="00130B66"/>
    <w:rsid w:val="0015091A"/>
    <w:rsid w:val="00151A42"/>
    <w:rsid w:val="0016240B"/>
    <w:rsid w:val="00165B02"/>
    <w:rsid w:val="00166FAD"/>
    <w:rsid w:val="0016702A"/>
    <w:rsid w:val="00175FA5"/>
    <w:rsid w:val="001830D0"/>
    <w:rsid w:val="0018388C"/>
    <w:rsid w:val="00184FCF"/>
    <w:rsid w:val="001855D0"/>
    <w:rsid w:val="00186453"/>
    <w:rsid w:val="0018650F"/>
    <w:rsid w:val="00191865"/>
    <w:rsid w:val="00191B75"/>
    <w:rsid w:val="00193249"/>
    <w:rsid w:val="001A245C"/>
    <w:rsid w:val="001A2701"/>
    <w:rsid w:val="001A7170"/>
    <w:rsid w:val="001B0CF3"/>
    <w:rsid w:val="001B30A7"/>
    <w:rsid w:val="001B55A7"/>
    <w:rsid w:val="001B5E4D"/>
    <w:rsid w:val="001B6849"/>
    <w:rsid w:val="001C3A68"/>
    <w:rsid w:val="001C4C1D"/>
    <w:rsid w:val="001C66FF"/>
    <w:rsid w:val="001C7AAC"/>
    <w:rsid w:val="001D002D"/>
    <w:rsid w:val="001D0802"/>
    <w:rsid w:val="001D0A58"/>
    <w:rsid w:val="001D2536"/>
    <w:rsid w:val="001F01C6"/>
    <w:rsid w:val="001F02D5"/>
    <w:rsid w:val="001F5CE7"/>
    <w:rsid w:val="001F66FA"/>
    <w:rsid w:val="00202D85"/>
    <w:rsid w:val="002070AB"/>
    <w:rsid w:val="00207542"/>
    <w:rsid w:val="00212592"/>
    <w:rsid w:val="00222B8F"/>
    <w:rsid w:val="00233A6E"/>
    <w:rsid w:val="00233E6C"/>
    <w:rsid w:val="00234BE5"/>
    <w:rsid w:val="0023694D"/>
    <w:rsid w:val="0024210B"/>
    <w:rsid w:val="00242B0E"/>
    <w:rsid w:val="002436BA"/>
    <w:rsid w:val="00243D3D"/>
    <w:rsid w:val="0024598F"/>
    <w:rsid w:val="00246E7B"/>
    <w:rsid w:val="00252E3B"/>
    <w:rsid w:val="00252EA4"/>
    <w:rsid w:val="00254E69"/>
    <w:rsid w:val="00255A85"/>
    <w:rsid w:val="00256510"/>
    <w:rsid w:val="0026498E"/>
    <w:rsid w:val="00273630"/>
    <w:rsid w:val="0027436E"/>
    <w:rsid w:val="00282B41"/>
    <w:rsid w:val="002850C2"/>
    <w:rsid w:val="00293424"/>
    <w:rsid w:val="00297B4E"/>
    <w:rsid w:val="002A573A"/>
    <w:rsid w:val="002B3CFB"/>
    <w:rsid w:val="002C1996"/>
    <w:rsid w:val="002C1F20"/>
    <w:rsid w:val="002C2C12"/>
    <w:rsid w:val="002C7CF6"/>
    <w:rsid w:val="002D0C18"/>
    <w:rsid w:val="002D4D26"/>
    <w:rsid w:val="002E144D"/>
    <w:rsid w:val="002E5608"/>
    <w:rsid w:val="002E7AB0"/>
    <w:rsid w:val="002F50C2"/>
    <w:rsid w:val="0031168D"/>
    <w:rsid w:val="0031529E"/>
    <w:rsid w:val="00316DE8"/>
    <w:rsid w:val="00317AA6"/>
    <w:rsid w:val="003264A1"/>
    <w:rsid w:val="00332DEB"/>
    <w:rsid w:val="00334856"/>
    <w:rsid w:val="00340F2C"/>
    <w:rsid w:val="003512D3"/>
    <w:rsid w:val="00355262"/>
    <w:rsid w:val="003571D1"/>
    <w:rsid w:val="00361554"/>
    <w:rsid w:val="0036597D"/>
    <w:rsid w:val="00380779"/>
    <w:rsid w:val="00385186"/>
    <w:rsid w:val="00391E93"/>
    <w:rsid w:val="00393D04"/>
    <w:rsid w:val="003953ED"/>
    <w:rsid w:val="003B43C6"/>
    <w:rsid w:val="003B4944"/>
    <w:rsid w:val="003C0D74"/>
    <w:rsid w:val="003C6A30"/>
    <w:rsid w:val="003D09DD"/>
    <w:rsid w:val="003D0AC1"/>
    <w:rsid w:val="003D6DCC"/>
    <w:rsid w:val="003F1B21"/>
    <w:rsid w:val="003F50FB"/>
    <w:rsid w:val="003F5A2E"/>
    <w:rsid w:val="003F5D21"/>
    <w:rsid w:val="003F630C"/>
    <w:rsid w:val="003F6B62"/>
    <w:rsid w:val="0040528C"/>
    <w:rsid w:val="00405D5F"/>
    <w:rsid w:val="00414F07"/>
    <w:rsid w:val="00421CDA"/>
    <w:rsid w:val="00421EAE"/>
    <w:rsid w:val="004259A5"/>
    <w:rsid w:val="0043467C"/>
    <w:rsid w:val="00436171"/>
    <w:rsid w:val="004377D1"/>
    <w:rsid w:val="00445759"/>
    <w:rsid w:val="00447626"/>
    <w:rsid w:val="00450300"/>
    <w:rsid w:val="00452BED"/>
    <w:rsid w:val="0045479F"/>
    <w:rsid w:val="004557C2"/>
    <w:rsid w:val="00455B49"/>
    <w:rsid w:val="004563E4"/>
    <w:rsid w:val="00457371"/>
    <w:rsid w:val="0046024A"/>
    <w:rsid w:val="004605D3"/>
    <w:rsid w:val="00467A01"/>
    <w:rsid w:val="00482E63"/>
    <w:rsid w:val="0048566A"/>
    <w:rsid w:val="00486C10"/>
    <w:rsid w:val="00490C5C"/>
    <w:rsid w:val="004929F5"/>
    <w:rsid w:val="00493BCB"/>
    <w:rsid w:val="00493FD6"/>
    <w:rsid w:val="004B6CF2"/>
    <w:rsid w:val="004B746A"/>
    <w:rsid w:val="004C427F"/>
    <w:rsid w:val="004D271B"/>
    <w:rsid w:val="004D7F78"/>
    <w:rsid w:val="004E668A"/>
    <w:rsid w:val="004F2CAA"/>
    <w:rsid w:val="004F6C50"/>
    <w:rsid w:val="00500760"/>
    <w:rsid w:val="00502C79"/>
    <w:rsid w:val="00503202"/>
    <w:rsid w:val="00511A7C"/>
    <w:rsid w:val="0051358D"/>
    <w:rsid w:val="00517BC2"/>
    <w:rsid w:val="005263B7"/>
    <w:rsid w:val="00530580"/>
    <w:rsid w:val="00534336"/>
    <w:rsid w:val="00534D43"/>
    <w:rsid w:val="00534F7A"/>
    <w:rsid w:val="00535B27"/>
    <w:rsid w:val="00542AD5"/>
    <w:rsid w:val="005504EB"/>
    <w:rsid w:val="00550D3A"/>
    <w:rsid w:val="00552FC4"/>
    <w:rsid w:val="005535E6"/>
    <w:rsid w:val="00563863"/>
    <w:rsid w:val="005640AC"/>
    <w:rsid w:val="005737D1"/>
    <w:rsid w:val="00575C3B"/>
    <w:rsid w:val="00577274"/>
    <w:rsid w:val="0057736D"/>
    <w:rsid w:val="00577643"/>
    <w:rsid w:val="00583A9C"/>
    <w:rsid w:val="00587C7F"/>
    <w:rsid w:val="005919E6"/>
    <w:rsid w:val="00592A6F"/>
    <w:rsid w:val="005966B0"/>
    <w:rsid w:val="00596F88"/>
    <w:rsid w:val="005A2758"/>
    <w:rsid w:val="005A40D3"/>
    <w:rsid w:val="005B5949"/>
    <w:rsid w:val="005B6817"/>
    <w:rsid w:val="005B6CAD"/>
    <w:rsid w:val="005B74EE"/>
    <w:rsid w:val="005C45F2"/>
    <w:rsid w:val="005C4C2B"/>
    <w:rsid w:val="005D52D7"/>
    <w:rsid w:val="005D5F28"/>
    <w:rsid w:val="005E1FEB"/>
    <w:rsid w:val="005E385B"/>
    <w:rsid w:val="005E3AE6"/>
    <w:rsid w:val="005E5B28"/>
    <w:rsid w:val="005F5F58"/>
    <w:rsid w:val="005F6DCF"/>
    <w:rsid w:val="006001E5"/>
    <w:rsid w:val="00601696"/>
    <w:rsid w:val="006067FF"/>
    <w:rsid w:val="00607521"/>
    <w:rsid w:val="0061156F"/>
    <w:rsid w:val="00613AA2"/>
    <w:rsid w:val="006155B4"/>
    <w:rsid w:val="00617C05"/>
    <w:rsid w:val="00633C23"/>
    <w:rsid w:val="006400CF"/>
    <w:rsid w:val="00641516"/>
    <w:rsid w:val="0064611E"/>
    <w:rsid w:val="00650F9D"/>
    <w:rsid w:val="0065461C"/>
    <w:rsid w:val="00654CD6"/>
    <w:rsid w:val="0066321E"/>
    <w:rsid w:val="00664FCC"/>
    <w:rsid w:val="00671B62"/>
    <w:rsid w:val="00674CDF"/>
    <w:rsid w:val="00680D36"/>
    <w:rsid w:val="00683C14"/>
    <w:rsid w:val="00694C75"/>
    <w:rsid w:val="00694EA3"/>
    <w:rsid w:val="006A1DF0"/>
    <w:rsid w:val="006A2246"/>
    <w:rsid w:val="006A7B86"/>
    <w:rsid w:val="006B022B"/>
    <w:rsid w:val="006B1C82"/>
    <w:rsid w:val="006B5596"/>
    <w:rsid w:val="006C2E55"/>
    <w:rsid w:val="006C349E"/>
    <w:rsid w:val="006C4005"/>
    <w:rsid w:val="006D282D"/>
    <w:rsid w:val="006D7633"/>
    <w:rsid w:val="006E29C2"/>
    <w:rsid w:val="006E5345"/>
    <w:rsid w:val="006E5D64"/>
    <w:rsid w:val="006F2E7C"/>
    <w:rsid w:val="006F4642"/>
    <w:rsid w:val="007119FC"/>
    <w:rsid w:val="007161B2"/>
    <w:rsid w:val="00716A61"/>
    <w:rsid w:val="007206D5"/>
    <w:rsid w:val="007211A8"/>
    <w:rsid w:val="007240F8"/>
    <w:rsid w:val="0072474F"/>
    <w:rsid w:val="0073159A"/>
    <w:rsid w:val="00734331"/>
    <w:rsid w:val="00734338"/>
    <w:rsid w:val="007354FF"/>
    <w:rsid w:val="007446D2"/>
    <w:rsid w:val="00745EA5"/>
    <w:rsid w:val="00746AD9"/>
    <w:rsid w:val="00750067"/>
    <w:rsid w:val="00751CBE"/>
    <w:rsid w:val="00761A2D"/>
    <w:rsid w:val="00763709"/>
    <w:rsid w:val="0076392F"/>
    <w:rsid w:val="00764158"/>
    <w:rsid w:val="007666B5"/>
    <w:rsid w:val="007717A8"/>
    <w:rsid w:val="00772B7F"/>
    <w:rsid w:val="00776982"/>
    <w:rsid w:val="007779BC"/>
    <w:rsid w:val="00780EBA"/>
    <w:rsid w:val="007910EC"/>
    <w:rsid w:val="007A0280"/>
    <w:rsid w:val="007A21C7"/>
    <w:rsid w:val="007A264F"/>
    <w:rsid w:val="007A3952"/>
    <w:rsid w:val="007B1EFD"/>
    <w:rsid w:val="007B4CF5"/>
    <w:rsid w:val="007C0ABC"/>
    <w:rsid w:val="007D2161"/>
    <w:rsid w:val="007D5818"/>
    <w:rsid w:val="007E44E0"/>
    <w:rsid w:val="007F2055"/>
    <w:rsid w:val="007F5096"/>
    <w:rsid w:val="008011BE"/>
    <w:rsid w:val="0080160B"/>
    <w:rsid w:val="008049E6"/>
    <w:rsid w:val="00813318"/>
    <w:rsid w:val="00815E31"/>
    <w:rsid w:val="00820B91"/>
    <w:rsid w:val="00820DF3"/>
    <w:rsid w:val="008224A2"/>
    <w:rsid w:val="00827A4D"/>
    <w:rsid w:val="00830A30"/>
    <w:rsid w:val="00835500"/>
    <w:rsid w:val="00835A1C"/>
    <w:rsid w:val="00835F19"/>
    <w:rsid w:val="0083613B"/>
    <w:rsid w:val="0084570A"/>
    <w:rsid w:val="0085560B"/>
    <w:rsid w:val="0085588F"/>
    <w:rsid w:val="00857A32"/>
    <w:rsid w:val="00861F90"/>
    <w:rsid w:val="00867D99"/>
    <w:rsid w:val="008703A6"/>
    <w:rsid w:val="00870D02"/>
    <w:rsid w:val="008723E6"/>
    <w:rsid w:val="008763DE"/>
    <w:rsid w:val="00883EE5"/>
    <w:rsid w:val="008861C4"/>
    <w:rsid w:val="00890C19"/>
    <w:rsid w:val="0089242A"/>
    <w:rsid w:val="008A52E8"/>
    <w:rsid w:val="008A7A05"/>
    <w:rsid w:val="008B417C"/>
    <w:rsid w:val="008B44D8"/>
    <w:rsid w:val="008B596F"/>
    <w:rsid w:val="008B5A99"/>
    <w:rsid w:val="008B6767"/>
    <w:rsid w:val="008B677B"/>
    <w:rsid w:val="008C2827"/>
    <w:rsid w:val="008C4D0D"/>
    <w:rsid w:val="008D08B5"/>
    <w:rsid w:val="008D1A47"/>
    <w:rsid w:val="008D3618"/>
    <w:rsid w:val="008D5E5B"/>
    <w:rsid w:val="008E2A1C"/>
    <w:rsid w:val="008E3D57"/>
    <w:rsid w:val="008E4A8F"/>
    <w:rsid w:val="008E590E"/>
    <w:rsid w:val="008E6B62"/>
    <w:rsid w:val="008F0FC5"/>
    <w:rsid w:val="008F20A0"/>
    <w:rsid w:val="008F323A"/>
    <w:rsid w:val="008F5080"/>
    <w:rsid w:val="00900035"/>
    <w:rsid w:val="00900341"/>
    <w:rsid w:val="009025F2"/>
    <w:rsid w:val="00903D1B"/>
    <w:rsid w:val="009069CD"/>
    <w:rsid w:val="009108FD"/>
    <w:rsid w:val="00911E32"/>
    <w:rsid w:val="00923F59"/>
    <w:rsid w:val="009241C7"/>
    <w:rsid w:val="00927064"/>
    <w:rsid w:val="00930AD2"/>
    <w:rsid w:val="00932A23"/>
    <w:rsid w:val="0094111C"/>
    <w:rsid w:val="00944337"/>
    <w:rsid w:val="0094568C"/>
    <w:rsid w:val="009457F1"/>
    <w:rsid w:val="00946F7F"/>
    <w:rsid w:val="00947670"/>
    <w:rsid w:val="00951DDA"/>
    <w:rsid w:val="00952823"/>
    <w:rsid w:val="0095339A"/>
    <w:rsid w:val="00954681"/>
    <w:rsid w:val="00957B48"/>
    <w:rsid w:val="00965D91"/>
    <w:rsid w:val="00970562"/>
    <w:rsid w:val="009733FE"/>
    <w:rsid w:val="00973EB8"/>
    <w:rsid w:val="00975F82"/>
    <w:rsid w:val="00977692"/>
    <w:rsid w:val="00981A1D"/>
    <w:rsid w:val="00983B39"/>
    <w:rsid w:val="009844CA"/>
    <w:rsid w:val="00985BF8"/>
    <w:rsid w:val="00994EF5"/>
    <w:rsid w:val="009A5045"/>
    <w:rsid w:val="009A6E0B"/>
    <w:rsid w:val="009B3AD7"/>
    <w:rsid w:val="009B62A5"/>
    <w:rsid w:val="009C31BF"/>
    <w:rsid w:val="009C3327"/>
    <w:rsid w:val="009D2442"/>
    <w:rsid w:val="009D5457"/>
    <w:rsid w:val="009E6AAA"/>
    <w:rsid w:val="009F0B8E"/>
    <w:rsid w:val="009F2913"/>
    <w:rsid w:val="009F4188"/>
    <w:rsid w:val="009F7042"/>
    <w:rsid w:val="009F7BE1"/>
    <w:rsid w:val="00A02CB1"/>
    <w:rsid w:val="00A07A14"/>
    <w:rsid w:val="00A10A26"/>
    <w:rsid w:val="00A14BE2"/>
    <w:rsid w:val="00A22237"/>
    <w:rsid w:val="00A23E06"/>
    <w:rsid w:val="00A268F1"/>
    <w:rsid w:val="00A27246"/>
    <w:rsid w:val="00A33E77"/>
    <w:rsid w:val="00A34B80"/>
    <w:rsid w:val="00A353BD"/>
    <w:rsid w:val="00A42FB4"/>
    <w:rsid w:val="00A51716"/>
    <w:rsid w:val="00A51D7F"/>
    <w:rsid w:val="00A5314B"/>
    <w:rsid w:val="00A55996"/>
    <w:rsid w:val="00A6019B"/>
    <w:rsid w:val="00A61228"/>
    <w:rsid w:val="00A7205A"/>
    <w:rsid w:val="00A72F28"/>
    <w:rsid w:val="00A83CC5"/>
    <w:rsid w:val="00A852C8"/>
    <w:rsid w:val="00A91454"/>
    <w:rsid w:val="00A92400"/>
    <w:rsid w:val="00A94FAD"/>
    <w:rsid w:val="00A964AE"/>
    <w:rsid w:val="00AA155E"/>
    <w:rsid w:val="00AA4CCE"/>
    <w:rsid w:val="00AB5014"/>
    <w:rsid w:val="00AB6495"/>
    <w:rsid w:val="00AC1BB7"/>
    <w:rsid w:val="00AC28FD"/>
    <w:rsid w:val="00AC7E91"/>
    <w:rsid w:val="00AD0092"/>
    <w:rsid w:val="00AD036E"/>
    <w:rsid w:val="00AD0E57"/>
    <w:rsid w:val="00AD2F1E"/>
    <w:rsid w:val="00AE067A"/>
    <w:rsid w:val="00AE6C5A"/>
    <w:rsid w:val="00AF4E40"/>
    <w:rsid w:val="00AF6939"/>
    <w:rsid w:val="00B00016"/>
    <w:rsid w:val="00B039C8"/>
    <w:rsid w:val="00B04203"/>
    <w:rsid w:val="00B05E6A"/>
    <w:rsid w:val="00B143F3"/>
    <w:rsid w:val="00B15699"/>
    <w:rsid w:val="00B20DD6"/>
    <w:rsid w:val="00B2263B"/>
    <w:rsid w:val="00B2365F"/>
    <w:rsid w:val="00B25480"/>
    <w:rsid w:val="00B25A31"/>
    <w:rsid w:val="00B36FA9"/>
    <w:rsid w:val="00B41138"/>
    <w:rsid w:val="00B41B89"/>
    <w:rsid w:val="00B42834"/>
    <w:rsid w:val="00B525C8"/>
    <w:rsid w:val="00B528E9"/>
    <w:rsid w:val="00B56C66"/>
    <w:rsid w:val="00B63328"/>
    <w:rsid w:val="00B676E9"/>
    <w:rsid w:val="00B67C33"/>
    <w:rsid w:val="00B67CF5"/>
    <w:rsid w:val="00B814ED"/>
    <w:rsid w:val="00B81825"/>
    <w:rsid w:val="00B84E3E"/>
    <w:rsid w:val="00BA161E"/>
    <w:rsid w:val="00BA4CF1"/>
    <w:rsid w:val="00BB09D6"/>
    <w:rsid w:val="00BB28D1"/>
    <w:rsid w:val="00BB397A"/>
    <w:rsid w:val="00BB621B"/>
    <w:rsid w:val="00BB7AC7"/>
    <w:rsid w:val="00BC0F68"/>
    <w:rsid w:val="00BC21FD"/>
    <w:rsid w:val="00BC62CB"/>
    <w:rsid w:val="00BD4059"/>
    <w:rsid w:val="00BD4778"/>
    <w:rsid w:val="00BD4B03"/>
    <w:rsid w:val="00BE0A0B"/>
    <w:rsid w:val="00BE4D92"/>
    <w:rsid w:val="00BF5501"/>
    <w:rsid w:val="00BF606B"/>
    <w:rsid w:val="00BF7EE7"/>
    <w:rsid w:val="00C00635"/>
    <w:rsid w:val="00C010ED"/>
    <w:rsid w:val="00C01555"/>
    <w:rsid w:val="00C0388A"/>
    <w:rsid w:val="00C0709A"/>
    <w:rsid w:val="00C153D6"/>
    <w:rsid w:val="00C21D4E"/>
    <w:rsid w:val="00C460EC"/>
    <w:rsid w:val="00C530E9"/>
    <w:rsid w:val="00C57814"/>
    <w:rsid w:val="00C60EAE"/>
    <w:rsid w:val="00C62A17"/>
    <w:rsid w:val="00C65F8C"/>
    <w:rsid w:val="00C66DC7"/>
    <w:rsid w:val="00C7502D"/>
    <w:rsid w:val="00C757BE"/>
    <w:rsid w:val="00C771B8"/>
    <w:rsid w:val="00C813C5"/>
    <w:rsid w:val="00C911D3"/>
    <w:rsid w:val="00C92E78"/>
    <w:rsid w:val="00C938C0"/>
    <w:rsid w:val="00C94419"/>
    <w:rsid w:val="00C9461E"/>
    <w:rsid w:val="00CA134F"/>
    <w:rsid w:val="00CA2643"/>
    <w:rsid w:val="00CA6F98"/>
    <w:rsid w:val="00CB114B"/>
    <w:rsid w:val="00CB159F"/>
    <w:rsid w:val="00CB1B20"/>
    <w:rsid w:val="00CB274E"/>
    <w:rsid w:val="00CB352A"/>
    <w:rsid w:val="00CB6F03"/>
    <w:rsid w:val="00CC1726"/>
    <w:rsid w:val="00CC1ED7"/>
    <w:rsid w:val="00CC2694"/>
    <w:rsid w:val="00CC3668"/>
    <w:rsid w:val="00CD4632"/>
    <w:rsid w:val="00CD5A75"/>
    <w:rsid w:val="00CD6451"/>
    <w:rsid w:val="00CE4C3D"/>
    <w:rsid w:val="00CF1CC4"/>
    <w:rsid w:val="00CF2069"/>
    <w:rsid w:val="00CF2575"/>
    <w:rsid w:val="00D14EFF"/>
    <w:rsid w:val="00D17B80"/>
    <w:rsid w:val="00D2294C"/>
    <w:rsid w:val="00D26D1B"/>
    <w:rsid w:val="00D321EF"/>
    <w:rsid w:val="00D4240B"/>
    <w:rsid w:val="00D5005F"/>
    <w:rsid w:val="00D54B51"/>
    <w:rsid w:val="00D56572"/>
    <w:rsid w:val="00D5730A"/>
    <w:rsid w:val="00D57F72"/>
    <w:rsid w:val="00D6132E"/>
    <w:rsid w:val="00D63050"/>
    <w:rsid w:val="00D758C1"/>
    <w:rsid w:val="00D80058"/>
    <w:rsid w:val="00D841BB"/>
    <w:rsid w:val="00D86111"/>
    <w:rsid w:val="00D91244"/>
    <w:rsid w:val="00D96769"/>
    <w:rsid w:val="00DA189B"/>
    <w:rsid w:val="00DA59DE"/>
    <w:rsid w:val="00DA60E7"/>
    <w:rsid w:val="00DB03A7"/>
    <w:rsid w:val="00DB4F25"/>
    <w:rsid w:val="00DC20FD"/>
    <w:rsid w:val="00DC27FC"/>
    <w:rsid w:val="00DC571E"/>
    <w:rsid w:val="00DC6CF2"/>
    <w:rsid w:val="00DC7FCD"/>
    <w:rsid w:val="00DD4712"/>
    <w:rsid w:val="00DD4A1E"/>
    <w:rsid w:val="00DD75DB"/>
    <w:rsid w:val="00DE120E"/>
    <w:rsid w:val="00DE21F1"/>
    <w:rsid w:val="00DE33A4"/>
    <w:rsid w:val="00DE4121"/>
    <w:rsid w:val="00DE6EB0"/>
    <w:rsid w:val="00E10778"/>
    <w:rsid w:val="00E175F3"/>
    <w:rsid w:val="00E1799B"/>
    <w:rsid w:val="00E249C1"/>
    <w:rsid w:val="00E316D1"/>
    <w:rsid w:val="00E32BE7"/>
    <w:rsid w:val="00E36F9C"/>
    <w:rsid w:val="00E37462"/>
    <w:rsid w:val="00E42B93"/>
    <w:rsid w:val="00E4616C"/>
    <w:rsid w:val="00E50586"/>
    <w:rsid w:val="00E5140F"/>
    <w:rsid w:val="00E526E9"/>
    <w:rsid w:val="00E53104"/>
    <w:rsid w:val="00E6105A"/>
    <w:rsid w:val="00E6215C"/>
    <w:rsid w:val="00E6247E"/>
    <w:rsid w:val="00E62C06"/>
    <w:rsid w:val="00E6559A"/>
    <w:rsid w:val="00E675BE"/>
    <w:rsid w:val="00E753C1"/>
    <w:rsid w:val="00E76F02"/>
    <w:rsid w:val="00E81E42"/>
    <w:rsid w:val="00E86242"/>
    <w:rsid w:val="00E93069"/>
    <w:rsid w:val="00E94D58"/>
    <w:rsid w:val="00EB2DD9"/>
    <w:rsid w:val="00EB5C2B"/>
    <w:rsid w:val="00EB75E7"/>
    <w:rsid w:val="00EC0D3B"/>
    <w:rsid w:val="00EC0FA4"/>
    <w:rsid w:val="00EC4D96"/>
    <w:rsid w:val="00ED71E9"/>
    <w:rsid w:val="00EE1E88"/>
    <w:rsid w:val="00EE3502"/>
    <w:rsid w:val="00EE454C"/>
    <w:rsid w:val="00EF4204"/>
    <w:rsid w:val="00F02362"/>
    <w:rsid w:val="00F05F9C"/>
    <w:rsid w:val="00F06BDA"/>
    <w:rsid w:val="00F07B52"/>
    <w:rsid w:val="00F14F3E"/>
    <w:rsid w:val="00F17569"/>
    <w:rsid w:val="00F17BB8"/>
    <w:rsid w:val="00F278A7"/>
    <w:rsid w:val="00F30340"/>
    <w:rsid w:val="00F31ACE"/>
    <w:rsid w:val="00F43D2C"/>
    <w:rsid w:val="00F50508"/>
    <w:rsid w:val="00F511FB"/>
    <w:rsid w:val="00F51C75"/>
    <w:rsid w:val="00F53E14"/>
    <w:rsid w:val="00F57051"/>
    <w:rsid w:val="00F64460"/>
    <w:rsid w:val="00F71D68"/>
    <w:rsid w:val="00F7482D"/>
    <w:rsid w:val="00FA00DA"/>
    <w:rsid w:val="00FA2273"/>
    <w:rsid w:val="00FA275D"/>
    <w:rsid w:val="00FA3FDF"/>
    <w:rsid w:val="00FA7F36"/>
    <w:rsid w:val="00FB01FA"/>
    <w:rsid w:val="00FB39CD"/>
    <w:rsid w:val="00FB5562"/>
    <w:rsid w:val="00FB6055"/>
    <w:rsid w:val="00FC3520"/>
    <w:rsid w:val="00FC3F17"/>
    <w:rsid w:val="00FE080F"/>
    <w:rsid w:val="00FE0F80"/>
    <w:rsid w:val="00FE25F4"/>
    <w:rsid w:val="00FE4CC8"/>
    <w:rsid w:val="00FF105A"/>
    <w:rsid w:val="02F71E49"/>
    <w:rsid w:val="157C348A"/>
    <w:rsid w:val="1A436BB5"/>
    <w:rsid w:val="2F383980"/>
    <w:rsid w:val="31A67B6C"/>
    <w:rsid w:val="3B8B7AD8"/>
    <w:rsid w:val="69072F83"/>
    <w:rsid w:val="72964710"/>
    <w:rsid w:val="7B077F2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uiPriority="99" w:name="Normal Indent"/>
    <w:lsdException w:qFormat="1"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2"/>
    <w:qFormat/>
    <w:uiPriority w:val="0"/>
    <w:pPr>
      <w:keepNext/>
      <w:spacing w:before="50"/>
      <w:jc w:val="center"/>
      <w:outlineLvl w:val="2"/>
    </w:pPr>
    <w:rPr>
      <w:rFonts w:ascii="Arial" w:hAnsi="Arial" w:cs="Arial"/>
      <w:b/>
      <w:bCs/>
      <w:sz w:val="24"/>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semiHidden/>
    <w:qFormat/>
    <w:uiPriority w:val="0"/>
    <w:pPr>
      <w:ind w:left="1260"/>
      <w:jc w:val="left"/>
    </w:pPr>
    <w:rPr>
      <w:sz w:val="18"/>
      <w:szCs w:val="18"/>
    </w:rPr>
  </w:style>
  <w:style w:type="paragraph" w:styleId="6">
    <w:name w:val="caption"/>
    <w:basedOn w:val="1"/>
    <w:next w:val="1"/>
    <w:qFormat/>
    <w:uiPriority w:val="35"/>
    <w:rPr>
      <w:rFonts w:ascii="Cambria" w:hAnsi="Cambria" w:eastAsia="黑体"/>
      <w:sz w:val="20"/>
      <w:szCs w:val="20"/>
    </w:rPr>
  </w:style>
  <w:style w:type="paragraph" w:styleId="7">
    <w:name w:val="Document Map"/>
    <w:basedOn w:val="1"/>
    <w:link w:val="49"/>
    <w:semiHidden/>
    <w:qFormat/>
    <w:uiPriority w:val="0"/>
    <w:pPr>
      <w:shd w:val="clear" w:color="auto" w:fill="000080"/>
    </w:pPr>
  </w:style>
  <w:style w:type="paragraph" w:styleId="8">
    <w:name w:val="annotation text"/>
    <w:basedOn w:val="1"/>
    <w:link w:val="60"/>
    <w:qFormat/>
    <w:uiPriority w:val="0"/>
    <w:pPr>
      <w:jc w:val="left"/>
    </w:pPr>
  </w:style>
  <w:style w:type="paragraph" w:styleId="9">
    <w:name w:val="toc 5"/>
    <w:basedOn w:val="1"/>
    <w:next w:val="1"/>
    <w:semiHidden/>
    <w:qFormat/>
    <w:uiPriority w:val="0"/>
    <w:pPr>
      <w:ind w:left="840"/>
      <w:jc w:val="left"/>
    </w:pPr>
    <w:rPr>
      <w:sz w:val="18"/>
      <w:szCs w:val="18"/>
    </w:rPr>
  </w:style>
  <w:style w:type="paragraph" w:styleId="10">
    <w:name w:val="toc 3"/>
    <w:basedOn w:val="1"/>
    <w:next w:val="1"/>
    <w:semiHidden/>
    <w:qFormat/>
    <w:uiPriority w:val="39"/>
    <w:pPr>
      <w:tabs>
        <w:tab w:val="right" w:leader="middleDot" w:pos="4860"/>
      </w:tabs>
      <w:spacing w:line="180" w:lineRule="exact"/>
      <w:ind w:left="420" w:leftChars="200" w:firstLine="195" w:firstLineChars="150"/>
    </w:pPr>
    <w:rPr>
      <w:sz w:val="13"/>
    </w:rPr>
  </w:style>
  <w:style w:type="paragraph" w:styleId="11">
    <w:name w:val="toc 8"/>
    <w:basedOn w:val="1"/>
    <w:next w:val="1"/>
    <w:semiHidden/>
    <w:qFormat/>
    <w:uiPriority w:val="0"/>
    <w:pPr>
      <w:ind w:left="1470"/>
      <w:jc w:val="left"/>
    </w:pPr>
    <w:rPr>
      <w:sz w:val="18"/>
      <w:szCs w:val="18"/>
    </w:rPr>
  </w:style>
  <w:style w:type="paragraph" w:styleId="12">
    <w:name w:val="Balloon Text"/>
    <w:basedOn w:val="1"/>
    <w:link w:val="50"/>
    <w:semiHidden/>
    <w:qFormat/>
    <w:uiPriority w:val="0"/>
    <w:rPr>
      <w:sz w:val="18"/>
      <w:szCs w:val="18"/>
    </w:rPr>
  </w:style>
  <w:style w:type="paragraph" w:styleId="13">
    <w:name w:val="footer"/>
    <w:basedOn w:val="1"/>
    <w:link w:val="47"/>
    <w:qFormat/>
    <w:uiPriority w:val="99"/>
    <w:pPr>
      <w:tabs>
        <w:tab w:val="center" w:pos="4153"/>
        <w:tab w:val="right" w:pos="8306"/>
      </w:tabs>
      <w:snapToGrid w:val="0"/>
      <w:jc w:val="left"/>
    </w:pPr>
    <w:rPr>
      <w:sz w:val="18"/>
      <w:szCs w:val="18"/>
    </w:rPr>
  </w:style>
  <w:style w:type="paragraph" w:styleId="14">
    <w:name w:val="header"/>
    <w:basedOn w:val="1"/>
    <w:link w:val="48"/>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tabs>
        <w:tab w:val="right" w:leader="dot" w:pos="8303"/>
      </w:tabs>
      <w:spacing w:before="120" w:after="120"/>
      <w:jc w:val="center"/>
    </w:pPr>
    <w:rPr>
      <w:rFonts w:ascii="宋体" w:hAnsi="宋体" w:cs="Arial"/>
      <w:b/>
      <w:bCs/>
      <w:sz w:val="24"/>
    </w:rPr>
  </w:style>
  <w:style w:type="paragraph" w:styleId="16">
    <w:name w:val="toc 4"/>
    <w:basedOn w:val="1"/>
    <w:next w:val="1"/>
    <w:semiHidden/>
    <w:qFormat/>
    <w:uiPriority w:val="0"/>
    <w:pPr>
      <w:ind w:left="630"/>
      <w:jc w:val="left"/>
    </w:pPr>
    <w:rPr>
      <w:sz w:val="18"/>
      <w:szCs w:val="18"/>
    </w:rPr>
  </w:style>
  <w:style w:type="paragraph" w:styleId="17">
    <w:name w:val="footnote text"/>
    <w:basedOn w:val="1"/>
    <w:link w:val="67"/>
    <w:semiHidden/>
    <w:unhideWhenUsed/>
    <w:qFormat/>
    <w:uiPriority w:val="99"/>
    <w:pPr>
      <w:snapToGrid w:val="0"/>
      <w:jc w:val="left"/>
    </w:pPr>
    <w:rPr>
      <w:sz w:val="18"/>
      <w:szCs w:val="18"/>
    </w:rPr>
  </w:style>
  <w:style w:type="paragraph" w:styleId="18">
    <w:name w:val="toc 6"/>
    <w:basedOn w:val="1"/>
    <w:next w:val="1"/>
    <w:semiHidden/>
    <w:qFormat/>
    <w:uiPriority w:val="0"/>
    <w:pPr>
      <w:ind w:left="1050"/>
      <w:jc w:val="left"/>
    </w:pPr>
    <w:rPr>
      <w:sz w:val="18"/>
      <w:szCs w:val="18"/>
    </w:rPr>
  </w:style>
  <w:style w:type="paragraph" w:styleId="19">
    <w:name w:val="toc 2"/>
    <w:basedOn w:val="1"/>
    <w:next w:val="1"/>
    <w:qFormat/>
    <w:uiPriority w:val="39"/>
    <w:pPr>
      <w:ind w:left="1260" w:leftChars="100" w:right="100" w:rightChars="100"/>
      <w:jc w:val="left"/>
    </w:pPr>
    <w:rPr>
      <w:sz w:val="24"/>
      <w:szCs w:val="20"/>
    </w:rPr>
  </w:style>
  <w:style w:type="paragraph" w:styleId="20">
    <w:name w:val="toc 9"/>
    <w:basedOn w:val="1"/>
    <w:next w:val="1"/>
    <w:semiHidden/>
    <w:qFormat/>
    <w:uiPriority w:val="0"/>
    <w:pPr>
      <w:ind w:left="1680"/>
      <w:jc w:val="left"/>
    </w:pPr>
    <w:rPr>
      <w:sz w:val="18"/>
      <w:szCs w:val="18"/>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2">
    <w:name w:val="annotation subject"/>
    <w:basedOn w:val="8"/>
    <w:next w:val="8"/>
    <w:link w:val="61"/>
    <w:qFormat/>
    <w:uiPriority w:val="0"/>
    <w:rPr>
      <w:b/>
      <w:bCs/>
    </w:rPr>
  </w:style>
  <w:style w:type="table" w:styleId="24">
    <w:name w:val="Table Grid"/>
    <w:basedOn w:val="23"/>
    <w:qFormat/>
    <w:uiPriority w:val="59"/>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page number"/>
    <w:basedOn w:val="25"/>
    <w:qFormat/>
    <w:uiPriority w:val="0"/>
  </w:style>
  <w:style w:type="character" w:styleId="27">
    <w:name w:val="Hyperlink"/>
    <w:qFormat/>
    <w:uiPriority w:val="99"/>
    <w:rPr>
      <w:color w:val="0000FF"/>
      <w:u w:val="single"/>
    </w:rPr>
  </w:style>
  <w:style w:type="character" w:styleId="28">
    <w:name w:val="annotation reference"/>
    <w:qFormat/>
    <w:uiPriority w:val="0"/>
    <w:rPr>
      <w:sz w:val="21"/>
      <w:szCs w:val="21"/>
    </w:rPr>
  </w:style>
  <w:style w:type="character" w:styleId="29">
    <w:name w:val="footnote reference"/>
    <w:basedOn w:val="25"/>
    <w:semiHidden/>
    <w:unhideWhenUsed/>
    <w:qFormat/>
    <w:uiPriority w:val="99"/>
    <w:rPr>
      <w:vertAlign w:val="superscript"/>
    </w:rPr>
  </w:style>
  <w:style w:type="character" w:customStyle="1" w:styleId="30">
    <w:name w:val="标题 1 Char"/>
    <w:basedOn w:val="25"/>
    <w:link w:val="2"/>
    <w:qFormat/>
    <w:uiPriority w:val="0"/>
    <w:rPr>
      <w:rFonts w:ascii="Times New Roman" w:hAnsi="Times New Roman" w:eastAsia="宋体" w:cs="Times New Roman"/>
      <w:b/>
      <w:bCs/>
      <w:kern w:val="44"/>
      <w:sz w:val="44"/>
      <w:szCs w:val="44"/>
    </w:rPr>
  </w:style>
  <w:style w:type="character" w:customStyle="1" w:styleId="31">
    <w:name w:val="标题 2 Char"/>
    <w:basedOn w:val="25"/>
    <w:link w:val="3"/>
    <w:qFormat/>
    <w:uiPriority w:val="0"/>
    <w:rPr>
      <w:rFonts w:ascii="Arial" w:hAnsi="Arial" w:eastAsia="黑体" w:cs="Times New Roman"/>
      <w:b/>
      <w:bCs/>
      <w:sz w:val="32"/>
      <w:szCs w:val="32"/>
    </w:rPr>
  </w:style>
  <w:style w:type="character" w:customStyle="1" w:styleId="32">
    <w:name w:val="标题 3 Char"/>
    <w:basedOn w:val="25"/>
    <w:link w:val="4"/>
    <w:qFormat/>
    <w:uiPriority w:val="0"/>
    <w:rPr>
      <w:rFonts w:ascii="Arial" w:hAnsi="Arial" w:eastAsia="宋体" w:cs="Arial"/>
      <w:b/>
      <w:bCs/>
    </w:rPr>
  </w:style>
  <w:style w:type="paragraph" w:customStyle="1" w:styleId="33">
    <w:name w:val="Default"/>
    <w:qFormat/>
    <w:uiPriority w:val="0"/>
    <w:pPr>
      <w:widowControl w:val="0"/>
      <w:autoSpaceDE w:val="0"/>
      <w:autoSpaceDN w:val="0"/>
      <w:adjustRightInd w:val="0"/>
    </w:pPr>
    <w:rPr>
      <w:rFonts w:ascii="IKUOD B+ Arial," w:hAnsi="Times New Roman" w:eastAsia="IKUOD B+ Arial," w:cs="IKUOD B+ Arial,"/>
      <w:color w:val="000000"/>
      <w:kern w:val="0"/>
      <w:sz w:val="24"/>
      <w:szCs w:val="24"/>
      <w:lang w:val="en-US" w:eastAsia="zh-CN" w:bidi="ar-SA"/>
    </w:rPr>
  </w:style>
  <w:style w:type="paragraph" w:customStyle="1" w:styleId="34">
    <w:name w:val="CM52"/>
    <w:basedOn w:val="33"/>
    <w:next w:val="33"/>
    <w:qFormat/>
    <w:uiPriority w:val="0"/>
    <w:pPr>
      <w:spacing w:after="303"/>
    </w:pPr>
    <w:rPr>
      <w:rFonts w:cs="Times New Roman"/>
      <w:color w:val="auto"/>
    </w:rPr>
  </w:style>
  <w:style w:type="paragraph" w:customStyle="1" w:styleId="35">
    <w:name w:val="CM4"/>
    <w:basedOn w:val="33"/>
    <w:next w:val="33"/>
    <w:qFormat/>
    <w:uiPriority w:val="0"/>
    <w:pPr>
      <w:spacing w:line="180" w:lineRule="atLeast"/>
    </w:pPr>
    <w:rPr>
      <w:rFonts w:cs="Times New Roman"/>
      <w:color w:val="auto"/>
    </w:rPr>
  </w:style>
  <w:style w:type="paragraph" w:customStyle="1" w:styleId="36">
    <w:name w:val="CM49"/>
    <w:basedOn w:val="33"/>
    <w:next w:val="33"/>
    <w:qFormat/>
    <w:uiPriority w:val="0"/>
    <w:pPr>
      <w:spacing w:after="198"/>
    </w:pPr>
    <w:rPr>
      <w:rFonts w:cs="Times New Roman"/>
      <w:color w:val="auto"/>
    </w:rPr>
  </w:style>
  <w:style w:type="paragraph" w:customStyle="1" w:styleId="37">
    <w:name w:val="CM54"/>
    <w:basedOn w:val="33"/>
    <w:next w:val="33"/>
    <w:qFormat/>
    <w:uiPriority w:val="0"/>
    <w:pPr>
      <w:spacing w:after="88"/>
    </w:pPr>
    <w:rPr>
      <w:rFonts w:cs="Times New Roman"/>
      <w:color w:val="auto"/>
    </w:rPr>
  </w:style>
  <w:style w:type="paragraph" w:customStyle="1" w:styleId="38">
    <w:name w:val="CM1"/>
    <w:basedOn w:val="33"/>
    <w:next w:val="33"/>
    <w:qFormat/>
    <w:uiPriority w:val="0"/>
    <w:pPr>
      <w:spacing w:line="180" w:lineRule="atLeast"/>
    </w:pPr>
    <w:rPr>
      <w:rFonts w:ascii="GJWWN A+ Arial" w:eastAsia="GJWWN A+ Arial" w:cs="Times New Roman"/>
      <w:color w:val="auto"/>
    </w:rPr>
  </w:style>
  <w:style w:type="paragraph" w:customStyle="1" w:styleId="39">
    <w:name w:val="CM2"/>
    <w:basedOn w:val="33"/>
    <w:next w:val="33"/>
    <w:qFormat/>
    <w:uiPriority w:val="0"/>
    <w:rPr>
      <w:rFonts w:ascii="GJWWN A+ Arial" w:eastAsia="GJWWN A+ Arial" w:cs="Times New Roman"/>
      <w:color w:val="auto"/>
    </w:rPr>
  </w:style>
  <w:style w:type="paragraph" w:customStyle="1" w:styleId="40">
    <w:name w:val="CM58"/>
    <w:basedOn w:val="33"/>
    <w:next w:val="33"/>
    <w:qFormat/>
    <w:uiPriority w:val="0"/>
    <w:pPr>
      <w:spacing w:after="148"/>
    </w:pPr>
    <w:rPr>
      <w:rFonts w:ascii="GJWWN A+ Arial" w:eastAsia="GJWWN A+ Arial" w:cs="Times New Roman"/>
      <w:color w:val="auto"/>
    </w:rPr>
  </w:style>
  <w:style w:type="paragraph" w:customStyle="1" w:styleId="41">
    <w:name w:val="CM16"/>
    <w:basedOn w:val="33"/>
    <w:next w:val="33"/>
    <w:qFormat/>
    <w:uiPriority w:val="0"/>
    <w:pPr>
      <w:spacing w:line="173" w:lineRule="atLeast"/>
    </w:pPr>
    <w:rPr>
      <w:rFonts w:ascii="GJWWN A+ Arial" w:eastAsia="GJWWN A+ Arial" w:cs="Times New Roman"/>
      <w:color w:val="auto"/>
    </w:rPr>
  </w:style>
  <w:style w:type="paragraph" w:customStyle="1" w:styleId="42">
    <w:name w:val="CM48"/>
    <w:basedOn w:val="33"/>
    <w:next w:val="33"/>
    <w:qFormat/>
    <w:uiPriority w:val="0"/>
    <w:pPr>
      <w:spacing w:after="385"/>
    </w:pPr>
    <w:rPr>
      <w:rFonts w:ascii="GJWWN A+ Arial" w:eastAsia="GJWWN A+ Arial" w:cs="Times New Roman"/>
      <w:color w:val="auto"/>
    </w:rPr>
  </w:style>
  <w:style w:type="paragraph" w:customStyle="1" w:styleId="43">
    <w:name w:val="CM59"/>
    <w:basedOn w:val="33"/>
    <w:next w:val="33"/>
    <w:qFormat/>
    <w:uiPriority w:val="0"/>
    <w:pPr>
      <w:spacing w:after="253"/>
    </w:pPr>
    <w:rPr>
      <w:rFonts w:ascii="GJWWN A+ Arial" w:eastAsia="GJWWN A+ Arial" w:cs="Times New Roman"/>
      <w:color w:val="auto"/>
    </w:rPr>
  </w:style>
  <w:style w:type="paragraph" w:customStyle="1" w:styleId="44">
    <w:name w:val="CM47"/>
    <w:basedOn w:val="33"/>
    <w:next w:val="33"/>
    <w:qFormat/>
    <w:uiPriority w:val="0"/>
    <w:pPr>
      <w:spacing w:after="195"/>
    </w:pPr>
    <w:rPr>
      <w:rFonts w:ascii="GJWWN A+ Arial" w:eastAsia="GJWWN A+ Arial" w:cs="Times New Roman"/>
      <w:color w:val="auto"/>
    </w:rPr>
  </w:style>
  <w:style w:type="paragraph" w:customStyle="1" w:styleId="45">
    <w:name w:val="CM50"/>
    <w:basedOn w:val="33"/>
    <w:next w:val="33"/>
    <w:qFormat/>
    <w:uiPriority w:val="0"/>
    <w:pPr>
      <w:spacing w:after="120"/>
    </w:pPr>
    <w:rPr>
      <w:rFonts w:cs="Times New Roman"/>
      <w:color w:val="auto"/>
    </w:rPr>
  </w:style>
  <w:style w:type="paragraph" w:customStyle="1" w:styleId="46">
    <w:name w:val="CM17"/>
    <w:basedOn w:val="33"/>
    <w:next w:val="33"/>
    <w:qFormat/>
    <w:uiPriority w:val="0"/>
    <w:rPr>
      <w:rFonts w:cs="Times New Roman"/>
      <w:color w:val="auto"/>
    </w:rPr>
  </w:style>
  <w:style w:type="character" w:customStyle="1" w:styleId="47">
    <w:name w:val="页脚 Char"/>
    <w:basedOn w:val="25"/>
    <w:link w:val="13"/>
    <w:qFormat/>
    <w:uiPriority w:val="99"/>
    <w:rPr>
      <w:rFonts w:ascii="Times New Roman" w:hAnsi="Times New Roman" w:eastAsia="宋体" w:cs="Times New Roman"/>
      <w:sz w:val="18"/>
      <w:szCs w:val="18"/>
    </w:rPr>
  </w:style>
  <w:style w:type="character" w:customStyle="1" w:styleId="48">
    <w:name w:val="页眉 Char"/>
    <w:basedOn w:val="25"/>
    <w:link w:val="14"/>
    <w:qFormat/>
    <w:uiPriority w:val="99"/>
    <w:rPr>
      <w:rFonts w:ascii="Times New Roman" w:hAnsi="Times New Roman" w:eastAsia="宋体" w:cs="Times New Roman"/>
      <w:sz w:val="18"/>
      <w:szCs w:val="18"/>
    </w:rPr>
  </w:style>
  <w:style w:type="character" w:customStyle="1" w:styleId="49">
    <w:name w:val="文档结构图 Char"/>
    <w:basedOn w:val="25"/>
    <w:link w:val="7"/>
    <w:semiHidden/>
    <w:qFormat/>
    <w:uiPriority w:val="0"/>
    <w:rPr>
      <w:rFonts w:ascii="Times New Roman" w:hAnsi="Times New Roman" w:eastAsia="宋体" w:cs="Times New Roman"/>
      <w:sz w:val="21"/>
      <w:shd w:val="clear" w:color="auto" w:fill="000080"/>
    </w:rPr>
  </w:style>
  <w:style w:type="character" w:customStyle="1" w:styleId="50">
    <w:name w:val="批注框文本 Char"/>
    <w:basedOn w:val="25"/>
    <w:link w:val="12"/>
    <w:semiHidden/>
    <w:qFormat/>
    <w:uiPriority w:val="0"/>
    <w:rPr>
      <w:rFonts w:ascii="Times New Roman" w:hAnsi="Times New Roman" w:eastAsia="宋体" w:cs="Times New Roman"/>
      <w:sz w:val="18"/>
      <w:szCs w:val="18"/>
    </w:rPr>
  </w:style>
  <w:style w:type="character" w:customStyle="1" w:styleId="51">
    <w:name w:val="bodytext1"/>
    <w:qFormat/>
    <w:uiPriority w:val="0"/>
    <w:rPr>
      <w:rFonts w:hint="default" w:ascii="Arial" w:hAnsi="Arial" w:cs="Arial"/>
      <w:color w:val="003399"/>
      <w:spacing w:val="264"/>
      <w:sz w:val="18"/>
      <w:szCs w:val="18"/>
    </w:rPr>
  </w:style>
  <w:style w:type="paragraph" w:customStyle="1" w:styleId="52">
    <w:name w:val="±ê×¼"/>
    <w:basedOn w:val="1"/>
    <w:qFormat/>
    <w:uiPriority w:val="0"/>
    <w:pPr>
      <w:overflowPunct w:val="0"/>
      <w:autoSpaceDE w:val="0"/>
      <w:autoSpaceDN w:val="0"/>
      <w:adjustRightInd w:val="0"/>
      <w:spacing w:line="160" w:lineRule="atLeast"/>
      <w:ind w:left="425" w:hanging="425"/>
      <w:textAlignment w:val="baseline"/>
    </w:pPr>
    <w:rPr>
      <w:rFonts w:ascii="宋体"/>
      <w:kern w:val="0"/>
      <w:sz w:val="18"/>
      <w:szCs w:val="18"/>
      <w:lang w:eastAsia="en-US"/>
    </w:rPr>
  </w:style>
  <w:style w:type="character" w:customStyle="1" w:styleId="53">
    <w:name w:val="line10"/>
    <w:basedOn w:val="25"/>
    <w:qFormat/>
    <w:uiPriority w:val="0"/>
  </w:style>
  <w:style w:type="character" w:customStyle="1" w:styleId="54">
    <w:name w:val="stepnumber9"/>
    <w:qFormat/>
    <w:uiPriority w:val="0"/>
    <w:rPr>
      <w:rFonts w:hint="default" w:ascii="Times New Roman" w:hAnsi="Times New Roman" w:cs="Times New Roman"/>
      <w:sz w:val="30"/>
      <w:szCs w:val="30"/>
    </w:rPr>
  </w:style>
  <w:style w:type="paragraph" w:customStyle="1" w:styleId="55">
    <w:name w:val="intro"/>
    <w:basedOn w:val="1"/>
    <w:qFormat/>
    <w:uiPriority w:val="0"/>
    <w:pPr>
      <w:widowControl/>
      <w:spacing w:after="100"/>
      <w:jc w:val="left"/>
    </w:pPr>
    <w:rPr>
      <w:rFonts w:ascii="Arial" w:hAnsi="Arial" w:cs="Arial"/>
      <w:kern w:val="0"/>
      <w:sz w:val="14"/>
      <w:szCs w:val="14"/>
    </w:rPr>
  </w:style>
  <w:style w:type="character" w:customStyle="1" w:styleId="56">
    <w:name w:val="apple-style-span"/>
    <w:basedOn w:val="25"/>
    <w:qFormat/>
    <w:uiPriority w:val="0"/>
  </w:style>
  <w:style w:type="character" w:customStyle="1" w:styleId="57">
    <w:name w:val="short_text"/>
    <w:basedOn w:val="25"/>
    <w:qFormat/>
    <w:uiPriority w:val="0"/>
  </w:style>
  <w:style w:type="character" w:customStyle="1" w:styleId="58">
    <w:name w:val="wbtr_mn1"/>
    <w:qFormat/>
    <w:uiPriority w:val="0"/>
    <w:rPr>
      <w:rFonts w:hint="default" w:ascii="Arial" w:hAnsi="Arial" w:cs="Arial"/>
      <w:sz w:val="24"/>
      <w:szCs w:val="24"/>
    </w:rPr>
  </w:style>
  <w:style w:type="paragraph" w:customStyle="1" w:styleId="59">
    <w:name w:val="彩色底纹 - 强调文字颜色 11"/>
    <w:hidden/>
    <w:semiHidden/>
    <w:qFormat/>
    <w:uiPriority w:val="99"/>
    <w:rPr>
      <w:rFonts w:ascii="Times New Roman" w:hAnsi="Times New Roman" w:eastAsia="宋体" w:cs="Times New Roman"/>
      <w:kern w:val="2"/>
      <w:sz w:val="21"/>
      <w:szCs w:val="24"/>
      <w:lang w:val="en-US" w:eastAsia="zh-CN" w:bidi="ar-SA"/>
    </w:rPr>
  </w:style>
  <w:style w:type="character" w:customStyle="1" w:styleId="60">
    <w:name w:val="批注文字 Char"/>
    <w:basedOn w:val="25"/>
    <w:link w:val="8"/>
    <w:qFormat/>
    <w:uiPriority w:val="0"/>
    <w:rPr>
      <w:rFonts w:ascii="Times New Roman" w:hAnsi="Times New Roman" w:eastAsia="宋体" w:cs="Times New Roman"/>
      <w:sz w:val="21"/>
    </w:rPr>
  </w:style>
  <w:style w:type="character" w:customStyle="1" w:styleId="61">
    <w:name w:val="批注主题 Char"/>
    <w:basedOn w:val="60"/>
    <w:link w:val="22"/>
    <w:qFormat/>
    <w:uiPriority w:val="0"/>
    <w:rPr>
      <w:rFonts w:ascii="Times New Roman" w:hAnsi="Times New Roman" w:eastAsia="宋体" w:cs="Times New Roman"/>
      <w:b/>
      <w:bCs/>
      <w:sz w:val="21"/>
    </w:rPr>
  </w:style>
  <w:style w:type="paragraph" w:customStyle="1" w:styleId="62">
    <w:name w:val="彩色列表 - 强调文字颜色 11"/>
    <w:basedOn w:val="1"/>
    <w:qFormat/>
    <w:uiPriority w:val="34"/>
    <w:pPr>
      <w:ind w:firstLine="420" w:firstLineChars="200"/>
    </w:pPr>
  </w:style>
  <w:style w:type="paragraph" w:customStyle="1" w:styleId="63">
    <w:name w:val="TOC 标题1"/>
    <w:basedOn w:val="2"/>
    <w:next w:val="1"/>
    <w:semiHidden/>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styleId="64">
    <w:name w:val="List Paragraph"/>
    <w:basedOn w:val="1"/>
    <w:qFormat/>
    <w:uiPriority w:val="34"/>
    <w:pPr>
      <w:ind w:firstLine="420" w:firstLineChars="200"/>
    </w:pPr>
  </w:style>
  <w:style w:type="paragraph" w:customStyle="1" w:styleId="65">
    <w:name w:val="Revision"/>
    <w:hidden/>
    <w:semiHidden/>
    <w:qFormat/>
    <w:uiPriority w:val="99"/>
    <w:rPr>
      <w:rFonts w:ascii="Times New Roman" w:hAnsi="Times New Roman" w:eastAsia="宋体" w:cs="Times New Roman"/>
      <w:kern w:val="2"/>
      <w:sz w:val="21"/>
      <w:szCs w:val="24"/>
      <w:lang w:val="en-US" w:eastAsia="zh-CN" w:bidi="ar-SA"/>
    </w:rPr>
  </w:style>
  <w:style w:type="character" w:styleId="66">
    <w:name w:val="Placeholder Text"/>
    <w:basedOn w:val="25"/>
    <w:semiHidden/>
    <w:qFormat/>
    <w:uiPriority w:val="99"/>
    <w:rPr>
      <w:color w:val="808080"/>
    </w:rPr>
  </w:style>
  <w:style w:type="character" w:customStyle="1" w:styleId="67">
    <w:name w:val="脚注文本 Char"/>
    <w:basedOn w:val="25"/>
    <w:link w:val="17"/>
    <w:semiHidden/>
    <w:qFormat/>
    <w:uiPriority w:val="99"/>
    <w:rPr>
      <w:rFonts w:ascii="Times New Roman" w:hAnsi="Times New Roman" w:eastAsia="宋体" w:cs="Times New Roman"/>
      <w:sz w:val="18"/>
      <w:szCs w:val="18"/>
    </w:rPr>
  </w:style>
  <w:style w:type="paragraph" w:customStyle="1" w:styleId="68">
    <w:name w:val="Table Text"/>
    <w:basedOn w:val="1"/>
    <w:semiHidden/>
    <w:qFormat/>
    <w:uiPriority w:val="0"/>
    <w:rPr>
      <w:rFonts w:ascii="PingFang SC" w:hAnsi="PingFang SC" w:eastAsia="PingFang SC" w:cs="PingFang SC"/>
      <w:sz w:val="21"/>
      <w:szCs w:val="21"/>
      <w:lang w:val="en-US" w:eastAsia="en-US" w:bidi="ar-SA"/>
    </w:rPr>
  </w:style>
  <w:style w:type="table" w:customStyle="1" w:styleId="69">
    <w:name w:val="Table Normal"/>
    <w:semiHidden/>
    <w:unhideWhenUsed/>
    <w:qFormat/>
    <w:uiPriority w:val="0"/>
    <w:tblPr>
      <w:tblCellMar>
        <w:top w:w="0" w:type="dxa"/>
        <w:left w:w="0" w:type="dxa"/>
        <w:bottom w:w="0" w:type="dxa"/>
        <w:right w:w="0" w:type="dxa"/>
      </w:tblCellMar>
    </w:tblPr>
  </w:style>
  <w:style w:type="character" w:customStyle="1" w:styleId="70">
    <w:name w:val="font21"/>
    <w:basedOn w:val="25"/>
    <w:qFormat/>
    <w:uiPriority w:val="0"/>
    <w:rPr>
      <w:rFonts w:hint="eastAsia" w:ascii="宋体" w:hAnsi="宋体" w:eastAsia="宋体" w:cs="宋体"/>
      <w:b/>
      <w:bCs/>
      <w:color w:val="000000"/>
      <w:sz w:val="21"/>
      <w:szCs w:val="21"/>
      <w:u w:val="none"/>
    </w:rPr>
  </w:style>
  <w:style w:type="character" w:customStyle="1" w:styleId="71">
    <w:name w:val="font11"/>
    <w:basedOn w:val="25"/>
    <w:qFormat/>
    <w:uiPriority w:val="0"/>
    <w:rPr>
      <w:rFonts w:hint="eastAsia" w:ascii="宋体" w:hAnsi="宋体" w:eastAsia="宋体" w:cs="宋体"/>
      <w:color w:val="000000"/>
      <w:sz w:val="21"/>
      <w:szCs w:val="21"/>
      <w:u w:val="none"/>
    </w:rPr>
  </w:style>
  <w:style w:type="character" w:customStyle="1" w:styleId="72">
    <w:name w:val="font31"/>
    <w:basedOn w:val="25"/>
    <w:uiPriority w:val="0"/>
    <w:rPr>
      <w:rFonts w:ascii="Arial" w:hAnsi="Arial" w:cs="Arial"/>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4B2CA-DA5B-44C9-8112-F63DBB95AFB9}">
  <ds:schemaRefs/>
</ds:datastoreItem>
</file>

<file path=docProps/app.xml><?xml version="1.0" encoding="utf-8"?>
<Properties xmlns="http://schemas.openxmlformats.org/officeDocument/2006/extended-properties" xmlns:vt="http://schemas.openxmlformats.org/officeDocument/2006/docPropsVTypes">
  <Template>Normal</Template>
  <Pages>6</Pages>
  <Words>674</Words>
  <Characters>848</Characters>
  <Lines>4</Lines>
  <Paragraphs>1</Paragraphs>
  <TotalTime>7</TotalTime>
  <ScaleCrop>false</ScaleCrop>
  <LinksUpToDate>false</LinksUpToDate>
  <CharactersWithSpaces>861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2017-05-26T09:30:00Z</dcterms:created>
  <dc:creator>zhaofengyan</dc:creator>
  <cp:lastModifiedBy>001</cp:lastModifiedBy>
  <cp:lastPrinted>2017-05-26T09:33:00Z</cp:lastPrinted>
  <dcterms:modified xsi:type="dcterms:W3CDTF">2026-10-15T02:56:03Z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eyJoZGlkIjoiYzgxM2JkMjhlMjZiMzUyMDRlYjQzZDg0MjBkY2JmNjMiLCJ1c2VySWQiOiI0MzQ2OTYxNjUifQ==</vt:lpwstr>
  </property>
  <property fmtid="{D5CDD505-2E9C-101B-9397-08002B2CF9AE}" pid="4" name="ICV">
    <vt:lpwstr>2DCDD69DA0E84A1898E23C9B511D52D5_13</vt:lpwstr>
  </property>
</Properties>
</file>