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6691" w14:textId="77777777" w:rsidR="00A30ED9" w:rsidRDefault="00A30ED9" w:rsidP="00A30ED9">
      <w:pPr>
        <w:widowControl/>
        <w:adjustRightInd w:val="0"/>
        <w:spacing w:line="360" w:lineRule="auto"/>
        <w:ind w:leftChars="200" w:left="860" w:hanging="420"/>
        <w:jc w:val="center"/>
        <w:rPr>
          <w:rFonts w:asciiTheme="minorEastAsia" w:hAnsiTheme="minorEastAsia" w:cstheme="minorEastAsia"/>
          <w:b/>
          <w:bCs/>
          <w:sz w:val="21"/>
          <w:szCs w:val="21"/>
          <w:lang w:eastAsia="zh-CN"/>
        </w:rPr>
      </w:pPr>
      <w:r>
        <w:rPr>
          <w:rFonts w:asciiTheme="minorEastAsia" w:hAnsiTheme="minorEastAsia" w:cstheme="minorEastAsia" w:hint="eastAsia"/>
          <w:b/>
          <w:bCs/>
          <w:sz w:val="21"/>
          <w:szCs w:val="21"/>
          <w:lang w:eastAsia="zh-CN"/>
        </w:rPr>
        <w:t>伦理委员会工作制度</w:t>
      </w:r>
    </w:p>
    <w:p w14:paraId="07187CFB" w14:textId="77777777" w:rsidR="00A30ED9" w:rsidRDefault="00A30ED9" w:rsidP="00A30ED9">
      <w:pPr>
        <w:widowControl/>
        <w:adjustRightInd w:val="0"/>
        <w:spacing w:line="360" w:lineRule="auto"/>
        <w:ind w:leftChars="200" w:left="860" w:hanging="420"/>
        <w:rPr>
          <w:rFonts w:asciiTheme="minorEastAsia" w:hAnsiTheme="minorEastAsia" w:cstheme="minorEastAsia"/>
          <w:sz w:val="21"/>
          <w:szCs w:val="21"/>
          <w:lang w:eastAsia="zh-CN"/>
        </w:rPr>
      </w:pPr>
      <w:r>
        <w:rPr>
          <w:rFonts w:asciiTheme="minorEastAsia" w:hAnsiTheme="minorEastAsia" w:cstheme="minorEastAsia" w:hint="eastAsia"/>
          <w:sz w:val="21"/>
          <w:szCs w:val="21"/>
          <w:lang w:eastAsia="zh-CN"/>
        </w:rPr>
        <w:t>一、北京中医药大学东直门医院医学伦理委员会依据我国《中华人民共和国执业医师法》（1998），《中华人民共和国药品管理法》（2019），《中华人民共和国药品管理法实施条例》（2016），国家药品监督管理局《药物临床试验质量管理规范》（2020）、《药品注册管理办法》（2020）、《药物临床试验伦理审查工作指导原则》（2010），《医疗器械临床试验质量管理规范》（2016），国家卫生健康委员会《医疗技术临床应用管理办法》（2018），《涉及人的生物医学研究伦理审查办法》（2016），《药品不良反应报告和监测管理办法》（2011），国家中医药管理局《中医药临床研究伦理审查管理规范》（2010），国务院《中华人民共和国人类遗传资源管理条例》（2019），《医疗器械监督管理条例》（2017），国家药品监督管理总局《医疗器械注册管理办法》（2014），以及 ICH GCP，《赫尔辛基宣言》（2013），国际医学科学组织委员会《涉及人的生物医学研究国际伦理指南》（2002）等建立，其职责是通过独立地审查、同意、跟踪审查试验方案及相关文件、获得和记录受试者知情同意所用的方法和材料等，确保受试者的权益、安全受到保护。</w:t>
      </w:r>
    </w:p>
    <w:p w14:paraId="517F546B" w14:textId="77777777" w:rsidR="00A30ED9" w:rsidRDefault="00A30ED9" w:rsidP="00A30ED9">
      <w:pPr>
        <w:widowControl/>
        <w:adjustRightInd w:val="0"/>
        <w:spacing w:line="360" w:lineRule="auto"/>
        <w:ind w:leftChars="200" w:left="860" w:hanging="420"/>
        <w:rPr>
          <w:rFonts w:asciiTheme="minorEastAsia" w:hAnsiTheme="minorEastAsia" w:cstheme="minorEastAsia"/>
          <w:sz w:val="21"/>
          <w:szCs w:val="21"/>
          <w:lang w:eastAsia="zh-CN"/>
        </w:rPr>
      </w:pPr>
      <w:r>
        <w:rPr>
          <w:rFonts w:asciiTheme="minorEastAsia" w:hAnsiTheme="minorEastAsia" w:cstheme="minorEastAsia" w:hint="eastAsia"/>
          <w:sz w:val="21"/>
          <w:szCs w:val="21"/>
          <w:lang w:eastAsia="zh-CN"/>
        </w:rPr>
        <w:t>二、依据我国GCP有关伦理委员会组成人员的规定，北京中医药大学东直门医院负责伦理委员会成员的筛选和/或招募、任免事项，并向药品监督管理部门和卫生主管部门备案。伦理委员会成员是兼职的。伦理委员会成员任期五年，可以连任，换届的新成员不少于1/3。伦理委员会的组成和工作相对独立，不受任何参与试验者的影响。根据伦理审查工作需要，必要时可对伦理委员会成员进行调整，并向药品监督管理部门及法规要求的相关网站备案。</w:t>
      </w:r>
    </w:p>
    <w:p w14:paraId="1CD65F4B" w14:textId="77777777" w:rsidR="00A30ED9" w:rsidRDefault="00A30ED9" w:rsidP="00A30ED9">
      <w:pPr>
        <w:widowControl/>
        <w:adjustRightInd w:val="0"/>
        <w:spacing w:line="360" w:lineRule="auto"/>
        <w:ind w:leftChars="200" w:left="860" w:hanging="420"/>
        <w:rPr>
          <w:rFonts w:asciiTheme="minorEastAsia" w:hAnsiTheme="minorEastAsia" w:cstheme="minorEastAsia"/>
          <w:sz w:val="21"/>
          <w:szCs w:val="21"/>
          <w:lang w:eastAsia="zh-CN"/>
        </w:rPr>
      </w:pPr>
      <w:r>
        <w:rPr>
          <w:rFonts w:asciiTheme="minorEastAsia" w:hAnsiTheme="minorEastAsia" w:cstheme="minorEastAsia" w:hint="eastAsia"/>
          <w:sz w:val="21"/>
          <w:szCs w:val="21"/>
          <w:lang w:eastAsia="zh-CN"/>
        </w:rPr>
        <w:t>三、伦理委员会法定到会人数应超过伦理委员会组成人员的半数，并不少于</w:t>
      </w:r>
      <w:r>
        <w:rPr>
          <w:rFonts w:asciiTheme="minorEastAsia" w:hAnsiTheme="minorEastAsia" w:cstheme="minorEastAsia" w:hint="eastAsia"/>
          <w:spacing w:val="-52"/>
          <w:sz w:val="21"/>
          <w:szCs w:val="21"/>
          <w:lang w:eastAsia="zh-CN"/>
        </w:rPr>
        <w:t>7</w:t>
      </w:r>
      <w:r>
        <w:rPr>
          <w:rFonts w:asciiTheme="minorEastAsia" w:hAnsiTheme="minorEastAsia" w:cstheme="minorEastAsia" w:hint="eastAsia"/>
          <w:sz w:val="21"/>
          <w:szCs w:val="21"/>
          <w:lang w:eastAsia="zh-CN"/>
        </w:rPr>
        <w:t>人；包括医药专业、非医药专业、独立于研究实施机构之外的委员，以及不同性别的委员。只有参与审查的伦理委员会成员才有决定权，以投票方式</w:t>
      </w:r>
      <w:proofErr w:type="gramStart"/>
      <w:r>
        <w:rPr>
          <w:rFonts w:asciiTheme="minorEastAsia" w:hAnsiTheme="minorEastAsia" w:cstheme="minorEastAsia" w:hint="eastAsia"/>
          <w:sz w:val="21"/>
          <w:szCs w:val="21"/>
          <w:lang w:eastAsia="zh-CN"/>
        </w:rPr>
        <w:t>作出</w:t>
      </w:r>
      <w:proofErr w:type="gramEnd"/>
      <w:r>
        <w:rPr>
          <w:rFonts w:asciiTheme="minorEastAsia" w:hAnsiTheme="minorEastAsia" w:cstheme="minorEastAsia" w:hint="eastAsia"/>
          <w:sz w:val="21"/>
          <w:szCs w:val="21"/>
          <w:lang w:eastAsia="zh-CN"/>
        </w:rPr>
        <w:t>决定，研究伦理审查以超过全体委员半数票的意见作为审查决定。会后及时（不超过5个工作日）传达审查决定或意见。审查决定可以是：同意；必要的修改后同意；不同意；终止或者暂停已同意的研究。如果存在利益冲突，该成员应从会议的决定程序中退出；该利益冲突应在审查前向伦理委员会办公室主任说明，并作记录。</w:t>
      </w:r>
    </w:p>
    <w:p w14:paraId="67129297" w14:textId="77777777" w:rsidR="00A30ED9" w:rsidRDefault="00A30ED9" w:rsidP="00A30ED9">
      <w:pPr>
        <w:widowControl/>
        <w:adjustRightInd w:val="0"/>
        <w:spacing w:line="360" w:lineRule="auto"/>
        <w:ind w:leftChars="200" w:left="860" w:hanging="420"/>
        <w:rPr>
          <w:rFonts w:asciiTheme="minorEastAsia" w:hAnsiTheme="minorEastAsia" w:cstheme="minorEastAsia"/>
          <w:sz w:val="21"/>
          <w:szCs w:val="21"/>
          <w:lang w:eastAsia="zh-CN"/>
        </w:rPr>
      </w:pPr>
      <w:r>
        <w:rPr>
          <w:rFonts w:asciiTheme="minorEastAsia" w:hAnsiTheme="minorEastAsia" w:cstheme="minorEastAsia" w:hint="eastAsia"/>
          <w:sz w:val="21"/>
          <w:szCs w:val="21"/>
          <w:lang w:eastAsia="zh-CN"/>
        </w:rPr>
        <w:lastRenderedPageBreak/>
        <w:t>四、伦理委员会可以根据审查项目的专业，聘请或委任独立顾问。独立顾问就所提议的研究方案向伦理委员会提供专门的意见。应规定独立顾问的授权范围。</w:t>
      </w:r>
    </w:p>
    <w:p w14:paraId="4E8E9C99" w14:textId="77777777" w:rsidR="00A30ED9" w:rsidRDefault="00A30ED9" w:rsidP="00A30ED9">
      <w:pPr>
        <w:widowControl/>
        <w:adjustRightInd w:val="0"/>
        <w:spacing w:line="360" w:lineRule="auto"/>
        <w:ind w:leftChars="200" w:left="860" w:hanging="420"/>
        <w:rPr>
          <w:rFonts w:asciiTheme="minorEastAsia" w:hAnsiTheme="minorEastAsia" w:cstheme="minorEastAsia"/>
          <w:sz w:val="21"/>
          <w:szCs w:val="21"/>
          <w:lang w:eastAsia="zh-CN"/>
        </w:rPr>
      </w:pPr>
      <w:r>
        <w:rPr>
          <w:rFonts w:asciiTheme="minorEastAsia" w:hAnsiTheme="minorEastAsia" w:cstheme="minorEastAsia" w:hint="eastAsia"/>
          <w:sz w:val="21"/>
          <w:szCs w:val="21"/>
          <w:lang w:eastAsia="zh-CN"/>
        </w:rPr>
        <w:t>五、伦理委员会成员必须接受有关生物医学研究的伦理道德和科学方面的初始培训和继续教育，并通过考核合格表明其达到培训要求和预期目标。北京中医药大学东直门医院为医学伦理委员会委员的培训和继续教育创造条件。</w:t>
      </w:r>
    </w:p>
    <w:p w14:paraId="501A6915" w14:textId="77777777" w:rsidR="00A30ED9" w:rsidRDefault="00A30ED9" w:rsidP="00A30ED9">
      <w:pPr>
        <w:widowControl/>
        <w:adjustRightInd w:val="0"/>
        <w:spacing w:line="360" w:lineRule="auto"/>
        <w:ind w:leftChars="200" w:left="860" w:hanging="420"/>
        <w:rPr>
          <w:rFonts w:asciiTheme="minorEastAsia" w:hAnsiTheme="minorEastAsia" w:cstheme="minorEastAsia"/>
          <w:sz w:val="21"/>
          <w:szCs w:val="21"/>
          <w:lang w:eastAsia="zh-CN"/>
        </w:rPr>
      </w:pPr>
      <w:r>
        <w:rPr>
          <w:rFonts w:asciiTheme="minorEastAsia" w:hAnsiTheme="minorEastAsia" w:cstheme="minorEastAsia" w:hint="eastAsia"/>
          <w:sz w:val="21"/>
          <w:szCs w:val="21"/>
          <w:lang w:eastAsia="zh-CN"/>
        </w:rPr>
        <w:t>六、伦理委员会委员应签署委员声明，同意公开他/她的完整姓名、职业和隶属关系；同意应要求公开其工作报酬和其他有关开支。伦理委员会成员应签署一项有关会议审议内容、申请材料、受试者信息和相关事宜的保密承诺。</w:t>
      </w:r>
    </w:p>
    <w:p w14:paraId="203E19C1" w14:textId="77777777" w:rsidR="00A30ED9" w:rsidRDefault="00A30ED9" w:rsidP="00A30ED9">
      <w:pPr>
        <w:widowControl/>
        <w:adjustRightInd w:val="0"/>
        <w:spacing w:line="360" w:lineRule="auto"/>
        <w:ind w:leftChars="200" w:left="860" w:hanging="420"/>
        <w:rPr>
          <w:rFonts w:asciiTheme="minorEastAsia" w:hAnsiTheme="minorEastAsia" w:cstheme="minorEastAsia"/>
          <w:sz w:val="21"/>
          <w:szCs w:val="21"/>
          <w:lang w:eastAsia="zh-CN"/>
        </w:rPr>
      </w:pPr>
      <w:r>
        <w:rPr>
          <w:rFonts w:asciiTheme="minorEastAsia" w:hAnsiTheme="minorEastAsia" w:cstheme="minorEastAsia" w:hint="eastAsia"/>
          <w:sz w:val="21"/>
          <w:szCs w:val="21"/>
          <w:lang w:eastAsia="zh-CN"/>
        </w:rPr>
        <w:t>七、每次伦理审查前，伦理委员会委员或聘请的独立顾问均应声明是否存在与伦理审查有关的利益冲突，保证将任何可能有关的利益冲突向伦理委员会报告。</w:t>
      </w:r>
    </w:p>
    <w:p w14:paraId="096ED3C3" w14:textId="77777777" w:rsidR="00A30ED9" w:rsidRDefault="00A30ED9" w:rsidP="00A30ED9">
      <w:pPr>
        <w:widowControl/>
        <w:adjustRightInd w:val="0"/>
        <w:spacing w:line="360" w:lineRule="auto"/>
        <w:ind w:leftChars="200" w:left="860" w:hanging="420"/>
        <w:rPr>
          <w:rFonts w:asciiTheme="minorEastAsia" w:hAnsiTheme="minorEastAsia" w:cstheme="minorEastAsia"/>
          <w:sz w:val="21"/>
          <w:szCs w:val="21"/>
          <w:lang w:eastAsia="zh-CN"/>
        </w:rPr>
      </w:pPr>
      <w:r>
        <w:rPr>
          <w:rFonts w:asciiTheme="minorEastAsia" w:hAnsiTheme="minorEastAsia" w:cstheme="minorEastAsia" w:hint="eastAsia"/>
          <w:sz w:val="21"/>
          <w:szCs w:val="21"/>
          <w:lang w:eastAsia="zh-CN"/>
        </w:rPr>
        <w:t>八、伦理委员会设伦理委员会办公室负责人/主任1名，和专职秘书1名、兼职秘书若干名，兼职工作人员若干名，负责受理伦理审查申请材料、会议日程安排、会议记录、决议通知、档案管理、年度工作总结以及经费管理等工作。</w:t>
      </w:r>
    </w:p>
    <w:p w14:paraId="0E6B15E7" w14:textId="77777777" w:rsidR="00BD5E6B" w:rsidRDefault="00BD5E6B">
      <w:pPr>
        <w:rPr>
          <w:lang w:eastAsia="zh-CN"/>
        </w:rPr>
      </w:pPr>
    </w:p>
    <w:sectPr w:rsidR="00BD5E6B" w:rsidSect="003D7543">
      <w:pgSz w:w="11906" w:h="16838" w:code="9"/>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FBBF4" w14:textId="77777777" w:rsidR="008D35D4" w:rsidRDefault="008D35D4" w:rsidP="00A30ED9">
      <w:r>
        <w:separator/>
      </w:r>
    </w:p>
  </w:endnote>
  <w:endnote w:type="continuationSeparator" w:id="0">
    <w:p w14:paraId="2C701E44" w14:textId="77777777" w:rsidR="008D35D4" w:rsidRDefault="008D35D4" w:rsidP="00A3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96E2C" w14:textId="77777777" w:rsidR="008D35D4" w:rsidRDefault="008D35D4" w:rsidP="00A30ED9">
      <w:r>
        <w:separator/>
      </w:r>
    </w:p>
  </w:footnote>
  <w:footnote w:type="continuationSeparator" w:id="0">
    <w:p w14:paraId="17643056" w14:textId="77777777" w:rsidR="008D35D4" w:rsidRDefault="008D35D4" w:rsidP="00A30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03"/>
    <w:rsid w:val="00330F03"/>
    <w:rsid w:val="003D7543"/>
    <w:rsid w:val="008D35D4"/>
    <w:rsid w:val="00A30ED9"/>
    <w:rsid w:val="00BD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8ED685-AB28-465C-A460-D0CC9C58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30ED9"/>
    <w:pPr>
      <w:widowControl w:val="0"/>
    </w:pPr>
    <w:rPr>
      <w:rFonts w:asciiTheme="minorHAnsi" w:eastAsiaTheme="minorEastAsia" w:hAnsi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ED9"/>
    <w:pPr>
      <w:pBdr>
        <w:bottom w:val="single" w:sz="6" w:space="1" w:color="auto"/>
      </w:pBdr>
      <w:tabs>
        <w:tab w:val="center" w:pos="4153"/>
        <w:tab w:val="right" w:pos="8306"/>
      </w:tabs>
      <w:snapToGrid w:val="0"/>
      <w:jc w:val="center"/>
    </w:pPr>
    <w:rPr>
      <w:rFonts w:ascii="宋体" w:eastAsia="宋体" w:hAnsi="宋体"/>
      <w:kern w:val="2"/>
      <w:sz w:val="18"/>
      <w:szCs w:val="18"/>
      <w:lang w:eastAsia="zh-CN"/>
    </w:rPr>
  </w:style>
  <w:style w:type="character" w:customStyle="1" w:styleId="a4">
    <w:name w:val="页眉 字符"/>
    <w:basedOn w:val="a0"/>
    <w:link w:val="a3"/>
    <w:uiPriority w:val="99"/>
    <w:rsid w:val="00A30ED9"/>
    <w:rPr>
      <w:sz w:val="18"/>
      <w:szCs w:val="18"/>
    </w:rPr>
  </w:style>
  <w:style w:type="paragraph" w:styleId="a5">
    <w:name w:val="footer"/>
    <w:basedOn w:val="a"/>
    <w:link w:val="a6"/>
    <w:uiPriority w:val="99"/>
    <w:unhideWhenUsed/>
    <w:rsid w:val="00A30ED9"/>
    <w:pPr>
      <w:tabs>
        <w:tab w:val="center" w:pos="4153"/>
        <w:tab w:val="right" w:pos="8306"/>
      </w:tabs>
      <w:snapToGrid w:val="0"/>
    </w:pPr>
    <w:rPr>
      <w:rFonts w:ascii="宋体" w:eastAsia="宋体" w:hAnsi="宋体"/>
      <w:kern w:val="2"/>
      <w:sz w:val="18"/>
      <w:szCs w:val="18"/>
      <w:lang w:eastAsia="zh-CN"/>
    </w:rPr>
  </w:style>
  <w:style w:type="character" w:customStyle="1" w:styleId="a6">
    <w:name w:val="页脚 字符"/>
    <w:basedOn w:val="a0"/>
    <w:link w:val="a5"/>
    <w:uiPriority w:val="99"/>
    <w:rsid w:val="00A30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2020-12-24T09:17:00Z</dcterms:created>
  <dcterms:modified xsi:type="dcterms:W3CDTF">2020-12-24T09:17:00Z</dcterms:modified>
</cp:coreProperties>
</file>